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A6209">
      <w:pPr>
        <w:pStyle w:val="10"/>
        <w:ind w:firstLine="0" w:firstLineChars="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w:t>
      </w:r>
    </w:p>
    <w:p w14:paraId="6F2DFB9E">
      <w:pPr>
        <w:keepNext w:val="0"/>
        <w:keepLines w:val="0"/>
        <w:pageBreakBefore w:val="0"/>
        <w:widowControl w:val="0"/>
        <w:kinsoku/>
        <w:wordWrap/>
        <w:overflowPunct/>
        <w:topLinePunct w:val="0"/>
        <w:autoSpaceDE/>
        <w:autoSpaceDN/>
        <w:bidi w:val="0"/>
        <w:adjustRightInd/>
        <w:snapToGrid/>
        <w:spacing w:line="520" w:lineRule="exact"/>
        <w:ind w:firstLine="0" w:firstLineChars="0"/>
        <w:jc w:val="center"/>
        <w:textAlignment w:val="auto"/>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20</w:t>
      </w:r>
      <w:r>
        <w:rPr>
          <w:rFonts w:hint="default" w:ascii="Times New Roman" w:hAnsi="Times New Roman" w:eastAsia="方正小标宋简体" w:cs="Times New Roman"/>
          <w:b w:val="0"/>
          <w:bCs w:val="0"/>
          <w:color w:val="auto"/>
          <w:sz w:val="44"/>
          <w:szCs w:val="44"/>
          <w:lang w:val="en-US" w:eastAsia="zh-CN"/>
        </w:rPr>
        <w:t>26</w:t>
      </w:r>
      <w:r>
        <w:rPr>
          <w:rFonts w:hint="default" w:ascii="Times New Roman" w:hAnsi="Times New Roman" w:eastAsia="方正小标宋简体" w:cs="Times New Roman"/>
          <w:b w:val="0"/>
          <w:bCs w:val="0"/>
          <w:color w:val="auto"/>
          <w:sz w:val="44"/>
          <w:szCs w:val="44"/>
        </w:rPr>
        <w:t>年度陕西省</w:t>
      </w:r>
      <w:r>
        <w:rPr>
          <w:rFonts w:hint="default" w:ascii="Times New Roman" w:hAnsi="Times New Roman" w:eastAsia="方正小标宋简体" w:cs="Times New Roman"/>
          <w:b w:val="0"/>
          <w:bCs w:val="0"/>
          <w:color w:val="auto"/>
          <w:sz w:val="44"/>
          <w:szCs w:val="44"/>
          <w:lang w:val="en-US" w:eastAsia="zh-CN"/>
        </w:rPr>
        <w:t>区域创新能力提升</w:t>
      </w:r>
    </w:p>
    <w:p w14:paraId="4FE1B7C8">
      <w:pPr>
        <w:pStyle w:val="2"/>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rPr>
          <w:rFonts w:hint="default" w:ascii="Times New Roman" w:hAnsi="Times New Roman" w:cs="Times New Roman"/>
          <w:color w:val="auto"/>
          <w:lang w:val="en-US" w:eastAsia="zh-CN"/>
        </w:rPr>
      </w:pPr>
      <w:r>
        <w:rPr>
          <w:rFonts w:hint="eastAsia" w:eastAsia="方正小标宋简体" w:cs="Times New Roman"/>
          <w:b w:val="0"/>
          <w:bCs w:val="0"/>
          <w:color w:val="auto"/>
          <w:sz w:val="44"/>
          <w:szCs w:val="44"/>
          <w:lang w:val="en-US" w:eastAsia="zh-CN"/>
        </w:rPr>
        <w:t>项目申报</w:t>
      </w:r>
      <w:r>
        <w:rPr>
          <w:rFonts w:hint="default" w:ascii="Times New Roman" w:hAnsi="Times New Roman" w:eastAsia="方正小标宋简体" w:cs="Times New Roman"/>
          <w:b w:val="0"/>
          <w:bCs w:val="0"/>
          <w:color w:val="auto"/>
          <w:sz w:val="44"/>
          <w:szCs w:val="44"/>
        </w:rPr>
        <w:t>指南</w:t>
      </w:r>
      <w:bookmarkStart w:id="2" w:name="_GoBack"/>
      <w:bookmarkEnd w:id="2"/>
    </w:p>
    <w:p w14:paraId="2EE939A6">
      <w:pPr>
        <w:rPr>
          <w:rFonts w:hint="default" w:ascii="Times New Roman" w:hAnsi="Times New Roman" w:cs="Times New Roman"/>
          <w:lang w:val="en-US" w:eastAsia="zh-CN"/>
        </w:rPr>
      </w:pPr>
    </w:p>
    <w:p w14:paraId="3B924F72">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1.光子领域关键技术研发与应用</w:t>
      </w:r>
    </w:p>
    <w:p w14:paraId="7E073A65">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1.1 高效率全“水窗”孤立阿秒脉冲产生</w:t>
      </w:r>
    </w:p>
    <w:p w14:paraId="1D92D965">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研究方向：</w:t>
      </w:r>
      <w:r>
        <w:rPr>
          <w:rFonts w:hint="default" w:ascii="Times New Roman" w:hAnsi="Times New Roman" w:eastAsia="仿宋_GB2312" w:cs="Times New Roman"/>
          <w:color w:val="auto"/>
          <w:sz w:val="32"/>
          <w:szCs w:val="32"/>
          <w:lang w:val="en-US" w:eastAsia="zh-CN"/>
        </w:rPr>
        <w:t>自主研制10</w:t>
      </w:r>
      <w:r>
        <w:rPr>
          <w:rFonts w:hint="default" w:ascii="Times New Roman" w:hAnsi="Times New Roman" w:cs="Times New Roman"/>
          <w:color w:val="auto"/>
          <w:sz w:val="32"/>
          <w:szCs w:val="32"/>
          <w:lang w:val="en-US" w:eastAsia="zh-CN"/>
        </w:rPr>
        <w:t>k</w:t>
      </w:r>
      <w:r>
        <w:rPr>
          <w:rFonts w:hint="default" w:ascii="Times New Roman" w:hAnsi="Times New Roman" w:eastAsia="仿宋_GB2312" w:cs="Times New Roman"/>
          <w:color w:val="auto"/>
          <w:sz w:val="32"/>
          <w:szCs w:val="32"/>
          <w:lang w:val="en-US" w:eastAsia="zh-CN"/>
        </w:rPr>
        <w:t>Hz、2μm、脉宽&lt;13fs（&lt;2个光学周期）、能量&gt;8mJ、CEP稳定的中红外光源，首次实现高重频、高能量、周期量级三大特性兼容，突破现有驱动源参数制约；依托自研驱动源，在氖气中产生280～550eV超连续谱，国际首次获得覆盖完整水窗波段、脉宽&lt;50as的孤立阿秒脉冲，填补领域空白；创新氦氖混合气体策略，通过配比调控补偿临界光强以上相位失配，将产生效率提升一个数量级以上，解决水窗波段效率极低的核心难题。</w:t>
      </w:r>
    </w:p>
    <w:p w14:paraId="60238C34">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000000"/>
          <w:kern w:val="0"/>
          <w:sz w:val="32"/>
          <w:szCs w:val="32"/>
          <w:lang w:bidi="ar"/>
        </w:rPr>
        <w:t>研制1</w:t>
      </w:r>
      <w:r>
        <w:rPr>
          <w:rFonts w:hint="default" w:ascii="Times New Roman" w:hAnsi="Times New Roman" w:eastAsia="仿宋_GB2312" w:cs="Times New Roman"/>
          <w:color w:val="000000"/>
          <w:kern w:val="0"/>
          <w:sz w:val="32"/>
          <w:szCs w:val="32"/>
          <w:lang w:val="en-US" w:eastAsia="zh-CN" w:bidi="ar"/>
        </w:rPr>
        <w:t>0k</w:t>
      </w:r>
      <w:r>
        <w:rPr>
          <w:rFonts w:hint="default" w:ascii="Times New Roman" w:hAnsi="Times New Roman" w:eastAsia="仿宋_GB2312" w:cs="Times New Roman"/>
          <w:color w:val="000000"/>
          <w:kern w:val="0"/>
          <w:sz w:val="32"/>
          <w:szCs w:val="32"/>
          <w:lang w:bidi="ar"/>
        </w:rPr>
        <w:t>Hz、2μm、&lt;13fs、≥8mJ、CEP稳定的中红外驱动源；获得280～550eV全覆盖水窗孤立阿秒脉冲，脉宽＜50as；混合气体方案将</w:t>
      </w:r>
      <w:r>
        <w:rPr>
          <w:rFonts w:hint="default" w:ascii="Times New Roman" w:hAnsi="Times New Roman" w:eastAsia="仿宋_GB2312" w:cs="Times New Roman"/>
          <w:color w:val="000000"/>
          <w:kern w:val="0"/>
          <w:sz w:val="32"/>
          <w:szCs w:val="32"/>
          <w:lang w:val="en-US" w:eastAsia="zh-CN" w:bidi="ar"/>
        </w:rPr>
        <w:t>现有</w:t>
      </w:r>
      <w:r>
        <w:rPr>
          <w:rFonts w:hint="default" w:ascii="Times New Roman" w:hAnsi="Times New Roman" w:eastAsia="仿宋_GB2312" w:cs="Times New Roman"/>
          <w:color w:val="000000"/>
          <w:kern w:val="0"/>
          <w:sz w:val="32"/>
          <w:szCs w:val="32"/>
          <w:lang w:bidi="ar"/>
        </w:rPr>
        <w:t>产生效率提升一个数量级；填补国际全水窗孤立阿秒脉冲空白，突破高能量少周期中红外光源、水窗高效谐波产生等卡脖子技术，形成自主光源技术体系；培养</w:t>
      </w:r>
      <w:r>
        <w:rPr>
          <w:rFonts w:hint="default" w:ascii="Times New Roman" w:hAnsi="Times New Roman" w:eastAsia="仿宋_GB2312" w:cs="Times New Roman"/>
          <w:color w:val="000000"/>
          <w:kern w:val="0"/>
          <w:sz w:val="32"/>
          <w:szCs w:val="32"/>
          <w:lang w:val="en-US" w:eastAsia="zh-CN" w:bidi="ar"/>
        </w:rPr>
        <w:t>研究生（学术骨干）</w:t>
      </w:r>
      <w:r>
        <w:rPr>
          <w:rFonts w:hint="default" w:ascii="Times New Roman" w:hAnsi="Times New Roman" w:eastAsia="仿宋_GB2312" w:cs="Times New Roman"/>
          <w:color w:val="000000"/>
          <w:kern w:val="0"/>
          <w:sz w:val="32"/>
          <w:szCs w:val="32"/>
          <w:lang w:bidi="ar"/>
        </w:rPr>
        <w:t>3-5人，发表高水平论文3-5篇、申</w:t>
      </w:r>
      <w:r>
        <w:rPr>
          <w:rFonts w:hint="default" w:ascii="Times New Roman" w:hAnsi="Times New Roman" w:eastAsia="仿宋_GB2312" w:cs="Times New Roman"/>
          <w:color w:val="000000"/>
          <w:kern w:val="0"/>
          <w:sz w:val="32"/>
          <w:szCs w:val="32"/>
          <w:lang w:val="en-US" w:eastAsia="zh-CN" w:bidi="ar"/>
        </w:rPr>
        <w:t>请发明</w:t>
      </w:r>
      <w:r>
        <w:rPr>
          <w:rFonts w:hint="default" w:ascii="Times New Roman" w:hAnsi="Times New Roman" w:eastAsia="仿宋_GB2312" w:cs="Times New Roman"/>
          <w:color w:val="000000"/>
          <w:kern w:val="0"/>
          <w:sz w:val="32"/>
          <w:szCs w:val="32"/>
          <w:lang w:bidi="ar"/>
        </w:rPr>
        <w:t>专利3-5件。</w:t>
      </w:r>
    </w:p>
    <w:p w14:paraId="718B2020">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1.2 干法刻蚀Si槽上外延单晶Ge关键工艺及高速波导型Ge光探测器</w:t>
      </w:r>
    </w:p>
    <w:p w14:paraId="033B9F31">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研究方向：</w:t>
      </w:r>
      <w:r>
        <w:rPr>
          <w:rFonts w:hint="default" w:ascii="Times New Roman" w:hAnsi="Times New Roman" w:eastAsia="仿宋_GB2312" w:cs="Times New Roman"/>
          <w:color w:val="000000"/>
          <w:kern w:val="0"/>
          <w:sz w:val="32"/>
          <w:szCs w:val="32"/>
          <w:lang w:bidi="ar"/>
        </w:rPr>
        <w:t>聚焦8英寸硅光平台中外延单晶Ge关键工艺攻关。提出“低温缓冲形核-梯度升温外延-多级原位退火”协同生长机制，降低光探测器的噪声；通过超洁净Si/Ge界面构建与原位精准掺杂调控，实现高结晶质量与优异光电输运性能兼顾；提出干法刻蚀Si槽上外延单晶Ge技术，利用ArF光刻机精准控制外延窗口与硅脊波导对准偏差及窗口大小，实现高速、高光电响应波导型Ge光探测器；实现CMOS兼容的量产化工艺体系，兼顾高性能与工程实用性；构建“材料-工艺-器件”闭环迭代优化体系</w:t>
      </w:r>
      <w:r>
        <w:rPr>
          <w:rFonts w:hint="default" w:ascii="Times New Roman" w:hAnsi="Times New Roman" w:cs="Times New Roman"/>
          <w:color w:val="000000"/>
          <w:kern w:val="0"/>
          <w:sz w:val="32"/>
          <w:szCs w:val="32"/>
          <w:lang w:eastAsia="zh-CN" w:bidi="ar"/>
        </w:rPr>
        <w:t>。</w:t>
      </w:r>
    </w:p>
    <w:p w14:paraId="7A5CD52D">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6"/>
          <w:szCs w:val="36"/>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000000"/>
          <w:kern w:val="0"/>
          <w:sz w:val="32"/>
          <w:szCs w:val="32"/>
          <w:lang w:bidi="ar"/>
        </w:rPr>
        <w:t>基于陕西省内8英寸自由Fab产线，实现干法刻蚀Si槽上单晶Ge选择性外延工艺，最小外延窗口0.25μm，外延窗口与硅脊波导对准偏差&lt;30nm，并完成波导型Ge PIN光探测器集成验证；器件暗电流≤10nA；C波段光电响应度≥0.9A/W；3dB本征带宽≥40GHz；申请发明专利≥</w:t>
      </w:r>
      <w:r>
        <w:rPr>
          <w:rFonts w:hint="default" w:ascii="Times New Roman" w:hAnsi="Times New Roman"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bidi="ar"/>
        </w:rPr>
        <w:t>件，形成完整的理论与技术研究体系；完成阶段性研究报告、中期检查报告、结题总结报告，形成成套工艺器件PDK，用于产业落地的工业规范</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val="en-US" w:eastAsia="zh-CN" w:bidi="ar"/>
        </w:rPr>
        <w:t>成果转化超过500万</w:t>
      </w:r>
      <w:r>
        <w:rPr>
          <w:rFonts w:hint="default" w:ascii="Times New Roman" w:hAnsi="Times New Roman" w:eastAsia="仿宋_GB2312" w:cs="Times New Roman"/>
          <w:color w:val="000000"/>
          <w:kern w:val="0"/>
          <w:sz w:val="32"/>
          <w:szCs w:val="32"/>
          <w:lang w:bidi="ar"/>
        </w:rPr>
        <w:t>。</w:t>
      </w:r>
    </w:p>
    <w:p w14:paraId="51461549">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 xml:space="preserve"> 宇航级光模块研究和生产</w:t>
      </w:r>
    </w:p>
    <w:p w14:paraId="07EADD16">
      <w:pPr>
        <w:pStyle w:val="4"/>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auto"/>
          <w:kern w:val="2"/>
          <w:sz w:val="32"/>
          <w:szCs w:val="32"/>
          <w:lang w:val="en-US" w:eastAsia="zh-CN" w:bidi="ar-SA"/>
        </w:rPr>
        <w:t>聚焦100G宇航级光模块国产化，围绕极端环境高可靠性需求开展研究。突破宇航级宽温稳定、抗辐照、抗振动的光电集成技术，实现国产100G光芯片、高速电芯片与高精度光学元件一体化设计，解决太空环境下信号漂移与器件失效问题；创新低损耗阻抗匹配、高速串扰抑制与时序优化等高速信号完整性设计，攻克100G信号在极端条件下的失真难题；开发高气密、轻量化、抗辐照专用封装材料与工艺，优化应力控制、真空密封与抗辐射结构。依托西安航天产业链优势，构建本地化协同研发与生产体系，推动宇航光模块自主可控。</w:t>
      </w:r>
    </w:p>
    <w:p w14:paraId="20785EFE">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color w:val="auto"/>
          <w:kern w:val="2"/>
          <w:sz w:val="32"/>
          <w:szCs w:val="32"/>
          <w:lang w:val="en-US" w:eastAsia="zh-CN" w:bidi="ar-SA"/>
        </w:rPr>
        <w:t>速率100Gbps，满足星间高速通信，发射光功率-15~0dBm，全温/辐照下波动≤±2dBm，接收灵敏度≤-50dBm@100G低噪放前端，误码率≤1e-6，满足航天级辐照环境及航天级力学环境，高轨寿命≥15年，多普勒频移适应范围≥±6GHz；填补国内100G宇航级光模块技术空白；达产后带动上下游产业链产值≥1亿元，降低进口依赖、节约采购成本；培养航天光电子领域研发、工艺、测试专业人才≥30人；申请发明专利≥3件。</w:t>
      </w:r>
    </w:p>
    <w:p w14:paraId="45FF9AAB">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4</w:t>
      </w:r>
      <w:r>
        <w:rPr>
          <w:rFonts w:hint="default" w:ascii="Times New Roman" w:hAnsi="Times New Roman" w:eastAsia="仿宋_GB2312" w:cs="Times New Roman"/>
          <w:b/>
          <w:bCs/>
          <w:color w:val="auto"/>
          <w:kern w:val="2"/>
          <w:sz w:val="32"/>
          <w:szCs w:val="32"/>
          <w:lang w:val="en-US" w:eastAsia="zh-CN" w:bidi="ar-SA"/>
        </w:rPr>
        <w:t xml:space="preserve"> 纳秒门控超快成像探测器关键技术攻关</w:t>
      </w:r>
    </w:p>
    <w:p w14:paraId="53BEE2A5">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auto"/>
          <w:kern w:val="2"/>
          <w:sz w:val="32"/>
          <w:szCs w:val="32"/>
          <w:lang w:val="en-US" w:eastAsia="zh-CN" w:bidi="ar-SA"/>
        </w:rPr>
        <w:t>自主研制高灵敏、超快时间响应成像探测器。通过将亚波长微纳结构、超薄光电阴极与导电基底相结合的方式，制备超快MCP中的电子倍增过程，探索MCP的高增益、低响应光电阴极组件；利用原子层沉积技术实现微通道板功能薄膜的精密调控，制备高增益低噪声微通道板；开发皮秒级高压脉冲技术，研究驱动电路模块、时序模块、增益模块与皮秒级窄选通门控电路的内在联系，解决门控电路中的窄门控、低抖动、高压兼容难题。</w:t>
      </w:r>
    </w:p>
    <w:p w14:paraId="30F0209F">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000000"/>
          <w:kern w:val="0"/>
          <w:sz w:val="32"/>
          <w:szCs w:val="32"/>
          <w:lang w:bidi="ar"/>
        </w:rPr>
        <w:t>光电阴极响应范围</w:t>
      </w:r>
      <w:r>
        <w:rPr>
          <w:rFonts w:hint="default" w:ascii="Times New Roman" w:hAnsi="Times New Roman" w:eastAsia="仿宋_GB2312" w:cs="Times New Roman"/>
          <w:color w:val="000000"/>
          <w:kern w:val="0"/>
          <w:sz w:val="32"/>
          <w:szCs w:val="32"/>
          <w:lang w:val="en-US" w:eastAsia="zh-CN" w:bidi="ar"/>
        </w:rPr>
        <w:t>20</w:t>
      </w:r>
      <w:r>
        <w:rPr>
          <w:rFonts w:hint="default" w:ascii="Times New Roman" w:hAnsi="Times New Roman" w:eastAsia="仿宋_GB2312" w:cs="Times New Roman"/>
          <w:color w:val="000000"/>
          <w:kern w:val="0"/>
          <w:sz w:val="32"/>
          <w:szCs w:val="32"/>
          <w:lang w:bidi="ar"/>
        </w:rPr>
        <w:t>0-9</w:t>
      </w:r>
      <w:r>
        <w:rPr>
          <w:rFonts w:hint="default" w:ascii="Times New Roman" w:hAnsi="Times New Roman" w:eastAsia="仿宋_GB2312" w:cs="Times New Roman"/>
          <w:color w:val="000000"/>
          <w:kern w:val="0"/>
          <w:sz w:val="32"/>
          <w:szCs w:val="32"/>
          <w:lang w:val="en-US" w:eastAsia="zh-CN" w:bidi="ar"/>
        </w:rPr>
        <w:t>8</w:t>
      </w:r>
      <w:r>
        <w:rPr>
          <w:rFonts w:hint="default" w:ascii="Times New Roman" w:hAnsi="Times New Roman" w:eastAsia="仿宋_GB2312" w:cs="Times New Roman"/>
          <w:color w:val="000000"/>
          <w:kern w:val="0"/>
          <w:sz w:val="32"/>
          <w:szCs w:val="32"/>
          <w:lang w:bidi="ar"/>
        </w:rPr>
        <w:t>0nm；峰值量子效率≥</w:t>
      </w:r>
      <w:r>
        <w:rPr>
          <w:rFonts w:hint="default" w:ascii="Times New Roman" w:hAnsi="Times New Roman" w:eastAsia="仿宋_GB2312" w:cs="Times New Roman"/>
          <w:color w:val="000000"/>
          <w:kern w:val="0"/>
          <w:sz w:val="32"/>
          <w:szCs w:val="32"/>
          <w:lang w:val="en-US" w:eastAsia="zh-CN" w:bidi="ar"/>
        </w:rPr>
        <w:t>8</w:t>
      </w:r>
      <w:r>
        <w:rPr>
          <w:rFonts w:hint="default" w:ascii="Times New Roman" w:hAnsi="Times New Roman" w:eastAsia="仿宋_GB2312" w:cs="Times New Roman"/>
          <w:color w:val="000000"/>
          <w:kern w:val="0"/>
          <w:sz w:val="32"/>
          <w:szCs w:val="32"/>
          <w:lang w:bidi="ar"/>
        </w:rPr>
        <w:t>0%@532nm；等效背景照度＜0.25μlx；像增强器直径18mm；最小选通门宽≤</w:t>
      </w:r>
      <w:r>
        <w:rPr>
          <w:rFonts w:hint="default" w:ascii="Times New Roman" w:hAnsi="Times New Roman" w:eastAsia="仿宋_GB2312" w:cs="Times New Roman"/>
          <w:color w:val="000000"/>
          <w:kern w:val="0"/>
          <w:sz w:val="32"/>
          <w:szCs w:val="32"/>
          <w:lang w:val="en-US" w:eastAsia="zh-CN" w:bidi="ar"/>
        </w:rPr>
        <w:t>0</w:t>
      </w:r>
      <w:r>
        <w:rPr>
          <w:rFonts w:hint="default" w:ascii="Times New Roman" w:hAnsi="Times New Roman" w:eastAsia="仿宋_GB2312" w:cs="Times New Roman"/>
          <w:color w:val="000000"/>
          <w:kern w:val="0"/>
          <w:sz w:val="32"/>
          <w:szCs w:val="32"/>
          <w:lang w:bidi="ar"/>
        </w:rPr>
        <w:t>.5ns FWHM；时序精度10ps；探测像素2048×2048；探测像素大小6.5×6.5µm；光学增益＞8000；动态范围＞75dB。</w:t>
      </w:r>
    </w:p>
    <w:p w14:paraId="7D378718">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5</w:t>
      </w:r>
      <w:r>
        <w:rPr>
          <w:rFonts w:hint="default" w:ascii="Times New Roman" w:hAnsi="Times New Roman" w:eastAsia="仿宋_GB2312" w:cs="Times New Roman"/>
          <w:b/>
          <w:bCs/>
          <w:color w:val="auto"/>
          <w:kern w:val="2"/>
          <w:sz w:val="32"/>
          <w:szCs w:val="32"/>
          <w:lang w:val="en-US" w:eastAsia="zh-CN" w:bidi="ar-SA"/>
        </w:rPr>
        <w:t xml:space="preserve"> 超高速激光刻蚀技术研发及应用</w:t>
      </w:r>
    </w:p>
    <w:p w14:paraId="19F7ED44">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研究方向：</w:t>
      </w:r>
      <w:r>
        <w:rPr>
          <w:rFonts w:hint="default" w:ascii="Times New Roman" w:hAnsi="Times New Roman" w:eastAsia="仿宋_GB2312" w:cs="Times New Roman"/>
          <w:color w:val="auto"/>
          <w:sz w:val="32"/>
          <w:szCs w:val="32"/>
          <w:lang w:val="en-US" w:eastAsia="zh-CN"/>
        </w:rPr>
        <w:t>开展基于多种光学调制的高稳定性设计与主机精度补偿控制研究，通过光束整形与光学调制系统设计，结合有限元仿真与集成测试验证，实现光束偏移补偿与整机稳定性提升；研究基于空间光调制器的光束整形技术，保证能量利用率不低于90%。同时，发展多参数可调的脉冲串产生技术，研究脉冲串作用材料之间的物理机理、扩展脉冲串模式的应用范围，提高刻蚀效率；针对金属-非金属复合材料加工，开展质量实时监测与闭环控制研究；建立微曲面复杂微结构轮廓特征识别与精度匹配方法，通过理论图形与实际数据的匹配调整，保障加工图形尺寸精度。</w:t>
      </w:r>
    </w:p>
    <w:p w14:paraId="1146FE5A">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sz w:val="32"/>
          <w:szCs w:val="32"/>
          <w:lang w:val="en-US" w:eastAsia="zh-CN"/>
        </w:rPr>
        <w:t>研制超高速激光刻蚀设备1台，光束整形效率≥92%，光束均匀性≥90%，X/Y/Z轴行程≥5000mm×1500mm×500mm；X/Y/Z轴定位精度≤0.015mm/0.008mm/0.008mm；X/Y/Z轴重复定位精度≤0.010mm/0.005mm/0.005mm；X/Y/Z轴快移速度≥40m/min；超表面结构单元图形尺寸误差≤±2μm；加工效率≥2000m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/min；申请发明专利≥3件；成果转化效益超5000万元。</w:t>
      </w:r>
    </w:p>
    <w:p w14:paraId="4671E0E4">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6</w:t>
      </w:r>
      <w:r>
        <w:rPr>
          <w:rFonts w:hint="default" w:ascii="Times New Roman" w:hAnsi="Times New Roman" w:eastAsia="仿宋_GB2312" w:cs="Times New Roman"/>
          <w:b/>
          <w:bCs/>
          <w:color w:val="auto"/>
          <w:kern w:val="2"/>
          <w:sz w:val="32"/>
          <w:szCs w:val="32"/>
          <w:lang w:val="en-US" w:eastAsia="zh-CN" w:bidi="ar-SA"/>
        </w:rPr>
        <w:t xml:space="preserve"> 面向InGaAs量子点VCSEL的混合外延研究</w:t>
      </w:r>
    </w:p>
    <w:p w14:paraId="57E2115E">
      <w:pPr>
        <w:pStyle w:val="4"/>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kern w:val="0"/>
          <w:sz w:val="28"/>
          <w:szCs w:val="28"/>
          <w:lang w:bidi="ar"/>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000000"/>
          <w:kern w:val="0"/>
          <w:sz w:val="32"/>
          <w:szCs w:val="32"/>
          <w:lang w:bidi="ar"/>
        </w:rPr>
        <w:t>面向</w:t>
      </w:r>
      <w:r>
        <w:rPr>
          <w:rFonts w:hint="default" w:ascii="Times New Roman" w:hAnsi="Times New Roman" w:eastAsia="仿宋_GB2312" w:cs="Times New Roman"/>
          <w:color w:val="auto"/>
          <w:kern w:val="0"/>
          <w:sz w:val="32"/>
          <w:szCs w:val="32"/>
          <w:lang w:bidi="ar"/>
        </w:rPr>
        <w:t>1</w:t>
      </w:r>
      <w:r>
        <w:rPr>
          <w:rFonts w:hint="default" w:ascii="Times New Roman" w:hAnsi="Times New Roman"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bidi="ar"/>
        </w:rPr>
        <w:t>3μm波段InGaAs量子点VCSEL外延结构，</w:t>
      </w:r>
      <w:r>
        <w:rPr>
          <w:rFonts w:hint="default" w:ascii="Times New Roman" w:hAnsi="Times New Roman" w:eastAsia="仿宋_GB2312" w:cs="Times New Roman"/>
          <w:color w:val="000000"/>
          <w:kern w:val="0"/>
          <w:sz w:val="32"/>
          <w:szCs w:val="32"/>
          <w:lang w:bidi="ar"/>
        </w:rPr>
        <w:t>开展量子点有源区的精细化外延调控，实现发光波长、量子点密度及面内均匀性的协同优化；提出适用于1</w:t>
      </w:r>
      <w:r>
        <w:rPr>
          <w:rFonts w:hint="default" w:ascii="Times New Roman" w:hAnsi="Times New Roman"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bidi="ar"/>
        </w:rPr>
        <w:t>3μm量子点VCSEL的混合外延工艺技术路线，通过不同外延技术优势互补，解决复杂多层结构生长中的一致性与可控性问题；通过界面工程和应力管理设计，降低混合外延结构中的缺陷密度，提高厚层、多周期外延结构的稳定性和重复性；形成可工程化复制的量子点VCSEL外延工艺参数体系，为高端外延材料规模化供应提供技术基础。</w:t>
      </w:r>
    </w:p>
    <w:p w14:paraId="1871C47C">
      <w:pPr>
        <w:pStyle w:val="4"/>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color w:val="000000"/>
          <w:kern w:val="0"/>
          <w:sz w:val="32"/>
          <w:szCs w:val="32"/>
          <w:lang w:val="en-US" w:eastAsia="zh-CN" w:bidi="ar"/>
        </w:rPr>
        <w:t>量子点密度重复性</w:t>
      </w:r>
      <w:r>
        <w:rPr>
          <w:rFonts w:hint="default" w:ascii="Times New Roman" w:hAnsi="Times New Roman" w:eastAsia="仿宋_GB2312" w:cs="Times New Roman"/>
          <w:color w:val="000000"/>
          <w:kern w:val="0"/>
          <w:sz w:val="32"/>
          <w:szCs w:val="32"/>
          <w:lang w:bidi="ar"/>
        </w:rPr>
        <w:t>≤</w:t>
      </w:r>
      <w:r>
        <w:rPr>
          <w:rFonts w:hint="default" w:ascii="Times New Roman" w:hAnsi="Times New Roman" w:eastAsia="仿宋_GB2312" w:cs="Times New Roman"/>
          <w:color w:val="000000"/>
          <w:kern w:val="0"/>
          <w:sz w:val="32"/>
          <w:szCs w:val="32"/>
          <w:lang w:val="en-US" w:eastAsia="zh-CN" w:bidi="ar"/>
        </w:rPr>
        <w:t>15%，</w:t>
      </w:r>
      <w:r>
        <w:rPr>
          <w:rFonts w:hint="default" w:ascii="Times New Roman" w:hAnsi="Times New Roman" w:eastAsia="仿宋_GB2312" w:cs="Times New Roman"/>
          <w:color w:val="000000"/>
          <w:kern w:val="0"/>
          <w:sz w:val="32"/>
          <w:szCs w:val="32"/>
          <w:lang w:bidi="ar"/>
        </w:rPr>
        <w:t>有源</w:t>
      </w:r>
      <w:r>
        <w:rPr>
          <w:rFonts w:hint="default" w:ascii="Times New Roman" w:hAnsi="Times New Roman" w:eastAsia="仿宋_GB2312" w:cs="Times New Roman"/>
          <w:color w:val="000000"/>
          <w:kern w:val="0"/>
          <w:sz w:val="32"/>
          <w:szCs w:val="32"/>
          <w:lang w:val="en-US" w:eastAsia="zh-CN" w:bidi="ar"/>
        </w:rPr>
        <w:t>缺陷密度降低至1×10</w:t>
      </w:r>
      <w:r>
        <w:rPr>
          <w:rFonts w:hint="default" w:ascii="Times New Roman" w:hAnsi="Times New Roman" w:eastAsia="仿宋_GB2312" w:cs="Times New Roman"/>
          <w:color w:val="000000"/>
          <w:kern w:val="0"/>
          <w:sz w:val="32"/>
          <w:szCs w:val="32"/>
          <w:vertAlign w:val="superscript"/>
          <w:lang w:val="en-US" w:eastAsia="zh-CN" w:bidi="ar"/>
        </w:rPr>
        <w:t>6</w:t>
      </w:r>
      <w:r>
        <w:rPr>
          <w:rFonts w:hint="default" w:ascii="Times New Roman" w:hAnsi="Times New Roman" w:eastAsia="仿宋_GB2312" w:cs="Times New Roman"/>
          <w:color w:val="000000"/>
          <w:kern w:val="0"/>
          <w:sz w:val="32"/>
          <w:szCs w:val="32"/>
          <w:vertAlign w:val="baseline"/>
          <w:lang w:val="en-US" w:eastAsia="zh-CN" w:bidi="ar"/>
        </w:rPr>
        <w:t>cm</w:t>
      </w:r>
      <w:r>
        <w:rPr>
          <w:rFonts w:hint="default" w:ascii="Times New Roman" w:hAnsi="Times New Roman" w:eastAsia="仿宋_GB2312" w:cs="Times New Roman"/>
          <w:color w:val="000000"/>
          <w:kern w:val="0"/>
          <w:sz w:val="32"/>
          <w:szCs w:val="32"/>
          <w:vertAlign w:val="superscript"/>
          <w:lang w:val="en-US" w:eastAsia="zh-CN" w:bidi="ar"/>
        </w:rPr>
        <w:t>-2</w:t>
      </w:r>
      <w:r>
        <w:rPr>
          <w:rFonts w:hint="default" w:ascii="Times New Roman" w:hAnsi="Times New Roman" w:eastAsia="仿宋_GB2312" w:cs="Times New Roman"/>
          <w:color w:val="000000"/>
          <w:kern w:val="0"/>
          <w:sz w:val="32"/>
          <w:szCs w:val="32"/>
          <w:lang w:val="en-US" w:eastAsia="zh-CN" w:bidi="ar"/>
        </w:rPr>
        <w:t>，批次性波长偏差</w:t>
      </w:r>
      <w:r>
        <w:rPr>
          <w:rFonts w:hint="default" w:ascii="Times New Roman" w:hAnsi="Times New Roman" w:eastAsia="仿宋_GB2312" w:cs="Times New Roman"/>
          <w:color w:val="000000"/>
          <w:kern w:val="0"/>
          <w:sz w:val="32"/>
          <w:szCs w:val="32"/>
          <w:lang w:bidi="ar"/>
        </w:rPr>
        <w:t>≤</w:t>
      </w:r>
      <w:r>
        <w:rPr>
          <w:rFonts w:hint="default" w:ascii="Times New Roman" w:hAnsi="Times New Roman" w:eastAsia="仿宋_GB2312" w:cs="Times New Roman"/>
          <w:color w:val="000000"/>
          <w:kern w:val="0"/>
          <w:sz w:val="32"/>
          <w:szCs w:val="32"/>
          <w:lang w:val="en-US" w:eastAsia="zh-CN" w:bidi="ar"/>
        </w:rPr>
        <w:t>5nm</w:t>
      </w:r>
      <w:r>
        <w:rPr>
          <w:rFonts w:hint="default" w:ascii="Times New Roman" w:hAnsi="Times New Roman"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bidi="ar"/>
        </w:rPr>
        <w:t>腔模波长1270-1310nm；腔模-增益offset10-30nm（@300K）；暗点缺陷密度&lt;103cm</w:t>
      </w:r>
      <w:r>
        <w:rPr>
          <w:rFonts w:hint="default" w:ascii="Times New Roman" w:hAnsi="Times New Roman" w:eastAsia="仿宋_GB2312" w:cs="Times New Roman"/>
          <w:color w:val="000000"/>
          <w:kern w:val="0"/>
          <w:sz w:val="32"/>
          <w:szCs w:val="32"/>
          <w:vertAlign w:val="superscript"/>
          <w:lang w:bidi="ar"/>
        </w:rPr>
        <w:t>-2</w:t>
      </w:r>
      <w:r>
        <w:rPr>
          <w:rFonts w:hint="default" w:ascii="Times New Roman" w:hAnsi="Times New Roman" w:eastAsia="仿宋_GB2312" w:cs="Times New Roman"/>
          <w:color w:val="000000"/>
          <w:kern w:val="0"/>
          <w:sz w:val="32"/>
          <w:szCs w:val="32"/>
          <w:lang w:bidi="ar"/>
        </w:rPr>
        <w:t>（极低水平，保证器件寿命）；界面粗糙度达到原子级平整，RMS粗糙度&lt;0.3nm</w:t>
      </w:r>
      <w:r>
        <w:rPr>
          <w:rFonts w:hint="default"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bidi="ar"/>
        </w:rPr>
        <w:t>申请发明专利≥</w:t>
      </w:r>
      <w:r>
        <w:rPr>
          <w:rFonts w:hint="default" w:ascii="Times New Roman" w:hAnsi="Times New Roman"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bidi="ar"/>
        </w:rPr>
        <w:t>件。</w:t>
      </w:r>
    </w:p>
    <w:p w14:paraId="3FB661C9">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7</w:t>
      </w:r>
      <w:r>
        <w:rPr>
          <w:rFonts w:hint="default" w:ascii="Times New Roman" w:hAnsi="Times New Roman" w:eastAsia="仿宋_GB2312" w:cs="Times New Roman"/>
          <w:b/>
          <w:bCs/>
          <w:color w:val="auto"/>
          <w:kern w:val="2"/>
          <w:sz w:val="32"/>
          <w:szCs w:val="32"/>
          <w:lang w:val="en-US" w:eastAsia="zh-CN" w:bidi="ar-SA"/>
        </w:rPr>
        <w:t xml:space="preserve"> 光学硬脆材料超深孔制备关键工艺技术研究及应用</w:t>
      </w:r>
    </w:p>
    <w:p w14:paraId="50F9D4F0">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000000"/>
          <w:kern w:val="0"/>
          <w:sz w:val="32"/>
          <w:szCs w:val="32"/>
          <w:lang w:bidi="ar"/>
        </w:rPr>
        <w:t>开发集成变径导向刃、分离式刀头、排屑槽及微织构表面的系列化专用金刚石刀具，突破光学硬脆材料（微晶玻璃）超深孔加工中排屑与冷却协同困难的技术瓶颈，实现导向、分屑、冷却功能的有机统一；构建“磨削力-温度场-切屑流动”多物理场动态耦合仿真模型，揭示超深孔加工过程中热量瞬时积聚导致热裂纹与边缘崩口的形成演化规律，为工艺参数优化提供理论依据与预测手段；开发超声振动辅助与磨削油压复合的协同工艺，实现超深盲孔与通孔加工中的稳定排屑与磨削力精准控制，有效抑制热裂纹和崩口缺陷；建立面向批量化生产的硬脆材料超深孔加工稳定工艺参数库及自主工艺规范，形成高可靠性的工艺能力，填补国内高端半导体设备精密硬脆材料零件超深孔加工技术空白。</w:t>
      </w:r>
    </w:p>
    <w:p w14:paraId="4E1A39C1">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color w:val="000000"/>
          <w:kern w:val="0"/>
          <w:sz w:val="32"/>
          <w:szCs w:val="32"/>
          <w:lang w:bidi="ar"/>
        </w:rPr>
        <w:t>实现单次超深盲孔加工深度≥460mm，长径比≥100:1，孔径精度±0.05mm，表面粗糙度Ra≤0.8μm，崩口宽度≤0.2mm，无可见裂纹；实现单次超深通孔加工深度≥320mm，长径比≥100:1，累计≥2000mm，孔径精度±0.05mm；可加工孔径范围覆盖φ3mm~φ37.5mm，良品率不低于99%；培养</w:t>
      </w:r>
      <w:r>
        <w:rPr>
          <w:rFonts w:hint="default" w:ascii="Times New Roman" w:hAnsi="Times New Roman" w:eastAsia="仿宋_GB2312" w:cs="Times New Roman"/>
          <w:color w:val="000000"/>
          <w:kern w:val="0"/>
          <w:sz w:val="32"/>
          <w:szCs w:val="32"/>
          <w:lang w:val="en-US" w:eastAsia="zh-CN" w:bidi="ar"/>
        </w:rPr>
        <w:t>硕博士研究生</w:t>
      </w:r>
      <w:r>
        <w:rPr>
          <w:rFonts w:hint="default" w:ascii="Times New Roman" w:hAnsi="Times New Roman" w:eastAsia="仿宋_GB2312" w:cs="Times New Roman"/>
          <w:color w:val="000000"/>
          <w:kern w:val="0"/>
          <w:sz w:val="32"/>
          <w:szCs w:val="32"/>
          <w:lang w:bidi="ar"/>
        </w:rPr>
        <w:t>≥</w:t>
      </w:r>
      <w:r>
        <w:rPr>
          <w:rFonts w:hint="default" w:ascii="Times New Roman" w:hAnsi="Times New Roman" w:eastAsia="仿宋_GB2312" w:cs="Times New Roman"/>
          <w:color w:val="000000"/>
          <w:kern w:val="0"/>
          <w:sz w:val="32"/>
          <w:szCs w:val="32"/>
          <w:lang w:val="en-US" w:eastAsia="zh-CN" w:bidi="ar"/>
        </w:rPr>
        <w:t>4</w:t>
      </w:r>
      <w:r>
        <w:rPr>
          <w:rFonts w:hint="default" w:ascii="Times New Roman" w:hAnsi="Times New Roman" w:eastAsia="仿宋_GB2312" w:cs="Times New Roman"/>
          <w:color w:val="000000"/>
          <w:kern w:val="0"/>
          <w:sz w:val="32"/>
          <w:szCs w:val="32"/>
          <w:lang w:bidi="ar"/>
        </w:rPr>
        <w:t>名，培养技术工程师≥3人；申请发明专利≥</w:t>
      </w:r>
      <w:r>
        <w:rPr>
          <w:rFonts w:hint="default" w:ascii="Times New Roman" w:hAnsi="Times New Roman" w:eastAsia="仿宋_GB2312" w:cs="Times New Roman"/>
          <w:color w:val="000000"/>
          <w:kern w:val="0"/>
          <w:sz w:val="32"/>
          <w:szCs w:val="32"/>
          <w:lang w:val="en-US" w:eastAsia="zh-CN" w:bidi="ar"/>
        </w:rPr>
        <w:t>3</w:t>
      </w:r>
      <w:r>
        <w:rPr>
          <w:rFonts w:hint="default" w:ascii="Times New Roman" w:hAnsi="Times New Roman" w:eastAsia="仿宋_GB2312" w:cs="Times New Roman"/>
          <w:color w:val="000000"/>
          <w:kern w:val="0"/>
          <w:sz w:val="32"/>
          <w:szCs w:val="32"/>
          <w:lang w:bidi="ar"/>
        </w:rPr>
        <w:t>件，形成面向微晶玻璃超深孔加工的专用刀具设计与制备规范1套；每年为制造企业新增产值≥2000万元；依托研究成果，建设年产≥200件高端半导体设备精密硬脆材料零件的超深孔示范线，提升国产高端半导体设备核心零部件的自主供应能力。</w:t>
      </w:r>
    </w:p>
    <w:p w14:paraId="1390EA84">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8</w:t>
      </w:r>
      <w:r>
        <w:rPr>
          <w:rFonts w:hint="default" w:ascii="Times New Roman" w:hAnsi="Times New Roman" w:eastAsia="仿宋_GB2312" w:cs="Times New Roman"/>
          <w:b/>
          <w:bCs/>
          <w:color w:val="auto"/>
          <w:kern w:val="2"/>
          <w:sz w:val="32"/>
          <w:szCs w:val="32"/>
          <w:lang w:val="en-US" w:eastAsia="zh-CN" w:bidi="ar-SA"/>
        </w:rPr>
        <w:t xml:space="preserve"> 面向消费端AR眼镜单片全彩Micro-LED微显示技术的研发</w:t>
      </w:r>
    </w:p>
    <w:p w14:paraId="15A10EF0">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auto"/>
          <w:kern w:val="2"/>
          <w:sz w:val="32"/>
          <w:szCs w:val="32"/>
          <w:lang w:val="en-US" w:eastAsia="zh-CN" w:bidi="ar-SA"/>
        </w:rPr>
        <w:t>聚焦单片全彩Micro-LED微显示技术，突破AR终端底层核心瓶颈。优化RGB垂直堆叠结构，解决全彩化中像素串扰、三色光电效率失衡及红光效率衰减难题；攻克异质外延、晶圆键合等精密工艺，提升微缩像素制程良率，降低制造成本；协同开发国产化驱动IC与适配微显示的特种衬底材料，突破芯屏协同壁垒，保障器件功耗、色彩稳定性与长期可靠性。最终形成高色域、高光效、高良率的单片全彩制备技术体系，支撑消费级AR及工业智能终端应用。</w:t>
      </w:r>
    </w:p>
    <w:p w14:paraId="54879ADE">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color w:val="auto"/>
          <w:kern w:val="2"/>
          <w:sz w:val="32"/>
          <w:szCs w:val="32"/>
          <w:lang w:val="en-US" w:eastAsia="zh-CN" w:bidi="ar-SA"/>
        </w:rPr>
        <w:t>绿光WPE（光电转换效率）达到3%</w:t>
      </w:r>
      <w:r>
        <w:rPr>
          <w:rFonts w:hint="default"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蓝光WPE达到3%、红光WPE达到1%；初始亮度在100万nits下，持续点亮1000小时，亮度衰减不低于初始亮度的70%；红蓝绿运行功耗小于300mW，亮度达到100万nits，实现高亮度；申请发明专利≥3件，实现经济效益≥500万元。</w:t>
      </w:r>
    </w:p>
    <w:p w14:paraId="3844D14D">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9</w:t>
      </w:r>
      <w:r>
        <w:rPr>
          <w:rFonts w:hint="default" w:ascii="Times New Roman" w:hAnsi="Times New Roman" w:eastAsia="仿宋_GB2312" w:cs="Times New Roman"/>
          <w:b/>
          <w:bCs/>
          <w:color w:val="auto"/>
          <w:kern w:val="2"/>
          <w:sz w:val="32"/>
          <w:szCs w:val="32"/>
          <w:lang w:val="en-US" w:eastAsia="zh-CN" w:bidi="ar-SA"/>
        </w:rPr>
        <w:t xml:space="preserve"> 基于先进VCSEL芯片的点阵光斑激光系统</w:t>
      </w:r>
    </w:p>
    <w:p w14:paraId="666E64BB">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研究方向：</w:t>
      </w:r>
      <w:r>
        <w:rPr>
          <w:rFonts w:hint="default" w:ascii="Times New Roman" w:hAnsi="Times New Roman" w:eastAsia="仿宋_GB2312" w:cs="Times New Roman"/>
          <w:color w:val="000000"/>
          <w:kern w:val="0"/>
          <w:sz w:val="32"/>
          <w:szCs w:val="32"/>
          <w:lang w:bidi="ar"/>
        </w:rPr>
        <w:t>面向3D打印应用，研发高集成度VCSEL激光核心引擎。重点开展多通道同步驱动技术研究，通过智能算法实现微秒级协同控制，保障点阵光斑一致性；突破工业级高功率密度芯片制造及封装工艺，确保连续工作模式下波长与功率的高度稳定；开发基于微透镜阵列与衍射光学元件的光束整形技术，实现微米级精度光斑；构建VCSEL芯片、微光学、电子学与微通道冷却高度集成的系统架构，实现小型化、轻量化设计。最终形成可适配金属、树脂、陶瓷等多种材料的高效智能化激光系统。</w:t>
      </w:r>
    </w:p>
    <w:p w14:paraId="7F4A0E98">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color w:val="000000"/>
          <w:kern w:val="0"/>
          <w:sz w:val="32"/>
          <w:szCs w:val="32"/>
          <w:lang w:bidi="ar"/>
        </w:rPr>
        <w:t>32颗点阵光斑</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val="en-US" w:eastAsia="zh-CN" w:bidi="ar"/>
        </w:rPr>
        <w:t>光斑均匀性</w:t>
      </w:r>
      <w:r>
        <w:rPr>
          <w:rFonts w:hint="default" w:ascii="Times New Roman" w:hAnsi="Times New Roman" w:eastAsia="仿宋_GB2312" w:cs="Times New Roman"/>
          <w:color w:val="000000"/>
          <w:kern w:val="0"/>
          <w:sz w:val="32"/>
          <w:szCs w:val="32"/>
          <w:lang w:bidi="ar"/>
        </w:rPr>
        <w:t>≥</w:t>
      </w:r>
      <w:r>
        <w:rPr>
          <w:rFonts w:hint="default" w:ascii="Times New Roman" w:hAnsi="Times New Roman" w:eastAsia="仿宋_GB2312" w:cs="Times New Roman"/>
          <w:color w:val="000000"/>
          <w:kern w:val="0"/>
          <w:sz w:val="32"/>
          <w:szCs w:val="32"/>
          <w:lang w:val="en-US" w:eastAsia="zh-CN" w:bidi="ar"/>
        </w:rPr>
        <w:t>90%</w:t>
      </w:r>
      <w:r>
        <w:rPr>
          <w:rFonts w:hint="default" w:ascii="Times New Roman" w:hAnsi="Times New Roman" w:eastAsia="仿宋_GB2312" w:cs="Times New Roman"/>
          <w:color w:val="000000"/>
          <w:kern w:val="0"/>
          <w:sz w:val="32"/>
          <w:szCs w:val="32"/>
          <w:lang w:bidi="ar"/>
        </w:rPr>
        <w:t>；单点光斑</w:t>
      </w:r>
      <w:r>
        <w:rPr>
          <w:rFonts w:hint="default" w:ascii="Times New Roman" w:hAnsi="Times New Roman" w:eastAsia="仿宋_GB2312" w:cs="Times New Roman"/>
          <w:color w:val="000000"/>
          <w:kern w:val="0"/>
          <w:sz w:val="32"/>
          <w:szCs w:val="32"/>
          <w:lang w:val="en-US" w:eastAsia="zh-CN" w:bidi="ar"/>
        </w:rPr>
        <w:t>位置偏差＜±3</w:t>
      </w:r>
      <w:r>
        <w:rPr>
          <w:rFonts w:hint="default" w:ascii="Times New Roman" w:hAnsi="Times New Roman" w:eastAsia="仿宋_GB2312" w:cs="Times New Roman"/>
          <w:color w:val="000000"/>
          <w:kern w:val="0"/>
          <w:sz w:val="32"/>
          <w:szCs w:val="32"/>
          <w:lang w:bidi="ar"/>
        </w:rPr>
        <w:t>μm</w:t>
      </w:r>
      <w:r>
        <w:rPr>
          <w:rFonts w:hint="default" w:ascii="Times New Roman" w:hAnsi="Times New Roman" w:eastAsia="仿宋_GB2312"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bidi="ar"/>
        </w:rPr>
        <w:t>光斑半高全宽尺寸为100μm；功率密度1</w:t>
      </w:r>
      <w:r>
        <w:rPr>
          <w:rFonts w:hint="default" w:ascii="Times New Roman" w:hAnsi="Times New Roman" w:cs="Times New Roman"/>
          <w:color w:val="000000"/>
          <w:kern w:val="0"/>
          <w:sz w:val="32"/>
          <w:szCs w:val="32"/>
          <w:lang w:val="en-US" w:eastAsia="zh-CN" w:bidi="ar"/>
        </w:rPr>
        <w:t>-</w:t>
      </w:r>
      <w:r>
        <w:rPr>
          <w:rFonts w:hint="default" w:ascii="Times New Roman" w:hAnsi="Times New Roman" w:eastAsia="仿宋_GB2312" w:cs="Times New Roman"/>
          <w:color w:val="000000"/>
          <w:kern w:val="0"/>
          <w:sz w:val="32"/>
          <w:szCs w:val="32"/>
          <w:lang w:bidi="ar"/>
        </w:rPr>
        <w:t>13kW/cm</w:t>
      </w:r>
      <w:r>
        <w:rPr>
          <w:rFonts w:hint="eastAsia" w:cs="Times New Roman"/>
          <w:color w:val="000000"/>
          <w:kern w:val="0"/>
          <w:sz w:val="32"/>
          <w:szCs w:val="32"/>
          <w:vertAlign w:val="superscript"/>
          <w:lang w:val="en-US" w:eastAsia="zh-CN" w:bidi="ar"/>
        </w:rPr>
        <w:t>2</w:t>
      </w:r>
      <w:r>
        <w:rPr>
          <w:rFonts w:hint="default" w:ascii="Times New Roman" w:hAnsi="Times New Roman" w:eastAsia="仿宋_GB2312" w:cs="Times New Roman"/>
          <w:color w:val="000000"/>
          <w:kern w:val="0"/>
          <w:sz w:val="32"/>
          <w:szCs w:val="32"/>
          <w:lang w:bidi="ar"/>
        </w:rPr>
        <w:t>脉冲调制可调</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val="en-US" w:eastAsia="zh-CN" w:bidi="ar"/>
        </w:rPr>
        <w:t>脉宽＜100ns，重频10kHz以上</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bidi="ar"/>
        </w:rPr>
        <w:t>；点阵光斑单独可控；连续工作寿命≥30000小时</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val="en-US" w:eastAsia="zh-CN" w:bidi="ar"/>
        </w:rPr>
        <w:t>在额定功率下</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highlight w:val="none"/>
          <w:lang w:bidi="ar"/>
        </w:rPr>
        <w:t>申请发明专利≥</w:t>
      </w:r>
      <w:r>
        <w:rPr>
          <w:rFonts w:hint="default" w:ascii="Times New Roman" w:hAnsi="Times New Roman" w:eastAsia="仿宋_GB2312" w:cs="Times New Roman"/>
          <w:color w:val="000000"/>
          <w:kern w:val="0"/>
          <w:sz w:val="32"/>
          <w:szCs w:val="32"/>
          <w:highlight w:val="none"/>
          <w:lang w:val="en-US" w:eastAsia="zh-CN" w:bidi="ar"/>
        </w:rPr>
        <w:t>3</w:t>
      </w:r>
      <w:r>
        <w:rPr>
          <w:rFonts w:hint="default" w:ascii="Times New Roman" w:hAnsi="Times New Roman" w:eastAsia="仿宋_GB2312" w:cs="Times New Roman"/>
          <w:color w:val="000000"/>
          <w:kern w:val="0"/>
          <w:sz w:val="32"/>
          <w:szCs w:val="32"/>
          <w:highlight w:val="none"/>
          <w:lang w:bidi="ar"/>
        </w:rPr>
        <w:t>件</w:t>
      </w:r>
      <w:r>
        <w:rPr>
          <w:rFonts w:hint="default" w:ascii="Times New Roman" w:hAnsi="Times New Roman" w:eastAsia="仿宋_GB2312" w:cs="Times New Roman"/>
          <w:color w:val="000000"/>
          <w:kern w:val="0"/>
          <w:sz w:val="32"/>
          <w:szCs w:val="32"/>
          <w:lang w:val="en-US" w:eastAsia="zh-CN" w:bidi="ar"/>
        </w:rPr>
        <w:t>。</w:t>
      </w:r>
    </w:p>
    <w:p w14:paraId="6615DCB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应在西安市应用或落地转化，助力</w:t>
      </w:r>
      <w:r>
        <w:rPr>
          <w:rFonts w:hint="default" w:ascii="Times New Roman" w:hAnsi="Times New Roman" w:cs="Times New Roman"/>
          <w:b/>
          <w:bCs/>
          <w:color w:val="000000"/>
          <w:kern w:val="0"/>
          <w:sz w:val="32"/>
          <w:szCs w:val="32"/>
          <w:lang w:val="en-US" w:eastAsia="zh-CN" w:bidi="ar"/>
        </w:rPr>
        <w:t>西安</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062D111E">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38D29455">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2.钛合金材料及关键装备技术攻关</w:t>
      </w:r>
    </w:p>
    <w:p w14:paraId="703B7EA7">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2.1 中强高韧大规格钛合金筒形环材成型技术</w:t>
      </w:r>
    </w:p>
    <w:p w14:paraId="7A6A23F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w:t>
      </w:r>
      <w:r>
        <w:rPr>
          <w:rFonts w:hint="default" w:ascii="Times New Roman" w:hAnsi="Times New Roman" w:cs="Times New Roman"/>
          <w:b/>
          <w:bCs/>
          <w:color w:val="auto"/>
          <w:kern w:val="2"/>
          <w:sz w:val="32"/>
          <w:szCs w:val="32"/>
          <w:lang w:val="en-US" w:eastAsia="zh-CN" w:bidi="ar-SA"/>
        </w:rPr>
        <w:t>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针对海洋工程领域耐压结构或非耐压结构用大型钛合金筒体结构用中强高韧大规格筒形环材，开展大规格环材的一体化成型技术研究，用环材一体化成型技术替代原有的板材卷制工艺，减少纵向焊缝对材料及装备结构带来的影响，提升海洋工程领域装备的综合性能。同时突破钛合金厚壁筒形锻件无法成型，靠传统大型棒材机加成型的技术壁垒；克服钛合金热加工区间窄、难成型的特点，开发出钛合金大规格筒形环材的一体化成型技术，研制出组织均匀性好，强韧性匹配良好的大规格筒形环材，为海洋工程</w:t>
      </w:r>
      <w:r>
        <w:rPr>
          <w:rFonts w:hint="eastAsia"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深海电缆平台等领域的迫切需求提供技术支撑。</w:t>
      </w:r>
    </w:p>
    <w:p w14:paraId="4CA7222B">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000000"/>
          <w:kern w:val="0"/>
          <w:sz w:val="32"/>
          <w:szCs w:val="32"/>
          <w:lang w:bidi="ar"/>
        </w:rPr>
        <w:t>开发出大规格筒形环材一体化成型技术工艺路线，研制出</w:t>
      </w:r>
      <w:r>
        <w:rPr>
          <w:rFonts w:hint="default" w:ascii="Times New Roman" w:hAnsi="Times New Roman" w:eastAsia="仿宋_GB2312" w:cs="Times New Roman"/>
          <w:color w:val="auto"/>
          <w:kern w:val="0"/>
          <w:sz w:val="32"/>
          <w:szCs w:val="32"/>
          <w:lang w:val="en-US" w:eastAsia="zh-CN" w:bidi="ar"/>
        </w:rPr>
        <w:t>国内领先水平的</w:t>
      </w:r>
      <w:r>
        <w:rPr>
          <w:rFonts w:hint="default" w:ascii="Times New Roman" w:hAnsi="Times New Roman" w:eastAsia="仿宋_GB2312" w:cs="Times New Roman"/>
          <w:color w:val="auto"/>
          <w:kern w:val="0"/>
          <w:sz w:val="32"/>
          <w:szCs w:val="32"/>
          <w:lang w:bidi="ar"/>
        </w:rPr>
        <w:t>中强高韧大规格筒形环材，具备批量化生产能力；力学性能：Rm≥860MPa，Rp0.2≥760MPa，KV2≥</w:t>
      </w:r>
      <w:r>
        <w:rPr>
          <w:rFonts w:hint="default" w:ascii="Times New Roman" w:hAnsi="Times New Roman" w:eastAsia="仿宋_GB2312" w:cs="Times New Roman"/>
          <w:color w:val="auto"/>
          <w:kern w:val="0"/>
          <w:sz w:val="32"/>
          <w:szCs w:val="32"/>
          <w:lang w:val="en-US" w:eastAsia="zh-CN" w:bidi="ar"/>
        </w:rPr>
        <w:t>40</w:t>
      </w:r>
      <w:r>
        <w:rPr>
          <w:rFonts w:hint="default" w:ascii="Times New Roman" w:hAnsi="Times New Roman" w:eastAsia="仿宋_GB2312" w:cs="Times New Roman"/>
          <w:color w:val="auto"/>
          <w:kern w:val="0"/>
          <w:sz w:val="32"/>
          <w:szCs w:val="32"/>
          <w:lang w:bidi="ar"/>
        </w:rPr>
        <w:t>J，KIC≥</w:t>
      </w:r>
      <w:r>
        <w:rPr>
          <w:rFonts w:hint="default" w:ascii="Times New Roman" w:hAnsi="Times New Roman" w:eastAsia="仿宋_GB2312" w:cs="Times New Roman"/>
          <w:color w:val="auto"/>
          <w:kern w:val="0"/>
          <w:sz w:val="32"/>
          <w:szCs w:val="32"/>
          <w:lang w:val="en-US" w:eastAsia="zh-CN" w:bidi="ar"/>
        </w:rPr>
        <w:t>80</w:t>
      </w:r>
      <w:r>
        <w:rPr>
          <w:rFonts w:hint="default" w:ascii="Times New Roman" w:hAnsi="Times New Roman" w:eastAsia="仿宋_GB2312" w:cs="Times New Roman"/>
          <w:color w:val="auto"/>
          <w:kern w:val="0"/>
          <w:sz w:val="32"/>
          <w:szCs w:val="32"/>
          <w:lang w:bidi="ar"/>
        </w:rPr>
        <w:t>MPa.m</w:t>
      </w:r>
      <w:r>
        <w:rPr>
          <w:rFonts w:hint="default" w:ascii="Times New Roman" w:hAnsi="Times New Roman" w:eastAsia="仿宋_GB2312" w:cs="Times New Roman"/>
          <w:color w:val="auto"/>
          <w:kern w:val="0"/>
          <w:sz w:val="32"/>
          <w:szCs w:val="32"/>
          <w:vertAlign w:val="superscript"/>
          <w:lang w:bidi="ar"/>
        </w:rPr>
        <w:t>1</w:t>
      </w:r>
      <w:r>
        <w:rPr>
          <w:rFonts w:hint="default" w:ascii="Times New Roman" w:hAnsi="Times New Roman" w:eastAsia="仿宋_GB2312" w:cs="Times New Roman"/>
          <w:color w:val="auto"/>
          <w:kern w:val="0"/>
          <w:sz w:val="32"/>
          <w:szCs w:val="32"/>
          <w:lang w:bidi="ar"/>
        </w:rPr>
        <w:t>/</w:t>
      </w:r>
      <w:r>
        <w:rPr>
          <w:rFonts w:hint="default" w:ascii="Times New Roman" w:hAnsi="Times New Roman" w:eastAsia="仿宋_GB2312" w:cs="Times New Roman"/>
          <w:color w:val="auto"/>
          <w:kern w:val="0"/>
          <w:sz w:val="32"/>
          <w:szCs w:val="32"/>
          <w:vertAlign w:val="superscript"/>
          <w:lang w:bidi="ar"/>
        </w:rPr>
        <w:t>2</w:t>
      </w:r>
      <w:r>
        <w:rPr>
          <w:rFonts w:hint="default" w:ascii="Times New Roman" w:hAnsi="Times New Roman" w:eastAsia="仿宋_GB2312" w:cs="Times New Roman"/>
          <w:color w:val="auto"/>
          <w:kern w:val="0"/>
          <w:sz w:val="32"/>
          <w:szCs w:val="32"/>
          <w:lang w:bidi="ar"/>
        </w:rPr>
        <w:t>；培养技术创新人员2人；</w:t>
      </w:r>
      <w:r>
        <w:rPr>
          <w:rFonts w:hint="default" w:ascii="Times New Roman" w:hAnsi="Times New Roman" w:eastAsia="仿宋_GB2312" w:cs="Times New Roman"/>
          <w:color w:val="auto"/>
          <w:kern w:val="0"/>
          <w:sz w:val="32"/>
          <w:szCs w:val="32"/>
          <w:lang w:eastAsia="zh-CN" w:bidi="ar"/>
        </w:rPr>
        <w:t>申请</w:t>
      </w:r>
      <w:r>
        <w:rPr>
          <w:rFonts w:hint="default" w:ascii="Times New Roman" w:hAnsi="Times New Roman" w:eastAsia="仿宋_GB2312" w:cs="Times New Roman"/>
          <w:color w:val="auto"/>
          <w:kern w:val="0"/>
          <w:sz w:val="32"/>
          <w:szCs w:val="32"/>
          <w:lang w:val="en-US" w:eastAsia="zh-CN" w:bidi="ar"/>
        </w:rPr>
        <w:t>发明</w:t>
      </w:r>
      <w:r>
        <w:rPr>
          <w:rFonts w:hint="default" w:ascii="Times New Roman" w:hAnsi="Times New Roman" w:eastAsia="仿宋_GB2312" w:cs="Times New Roman"/>
          <w:color w:val="auto"/>
          <w:kern w:val="0"/>
          <w:sz w:val="32"/>
          <w:szCs w:val="32"/>
          <w:lang w:bidi="ar"/>
        </w:rPr>
        <w:t>专利</w:t>
      </w:r>
      <w:r>
        <w:rPr>
          <w:rFonts w:hint="default" w:ascii="Times New Roman" w:hAnsi="Times New Roman" w:eastAsia="仿宋_GB2312" w:cs="Times New Roman"/>
          <w:color w:val="auto"/>
          <w:kern w:val="0"/>
          <w:sz w:val="32"/>
          <w:szCs w:val="32"/>
          <w:lang w:val="en-US" w:eastAsia="zh-CN" w:bidi="ar"/>
        </w:rPr>
        <w:t>不少于2</w:t>
      </w:r>
      <w:r>
        <w:rPr>
          <w:rFonts w:hint="default" w:ascii="Times New Roman" w:hAnsi="Times New Roman" w:eastAsia="仿宋_GB2312" w:cs="Times New Roman"/>
          <w:color w:val="auto"/>
          <w:kern w:val="0"/>
          <w:sz w:val="32"/>
          <w:szCs w:val="32"/>
          <w:lang w:bidi="ar"/>
        </w:rPr>
        <w:t>件；</w:t>
      </w:r>
      <w:r>
        <w:rPr>
          <w:rFonts w:hint="default" w:ascii="Times New Roman" w:hAnsi="Times New Roman" w:eastAsia="仿宋_GB2312" w:cs="Times New Roman"/>
          <w:color w:val="auto"/>
          <w:kern w:val="0"/>
          <w:sz w:val="32"/>
          <w:szCs w:val="32"/>
          <w:lang w:val="en-US" w:eastAsia="zh-CN" w:bidi="ar"/>
        </w:rPr>
        <w:t>取得至少1项典型场景的应用示范；</w:t>
      </w:r>
      <w:r>
        <w:rPr>
          <w:rFonts w:hint="default" w:ascii="Times New Roman" w:hAnsi="Times New Roman" w:eastAsia="仿宋_GB2312" w:cs="Times New Roman"/>
          <w:color w:val="auto"/>
          <w:kern w:val="0"/>
          <w:sz w:val="32"/>
          <w:szCs w:val="32"/>
          <w:lang w:bidi="ar"/>
        </w:rPr>
        <w:t>撰写科技报告1份</w:t>
      </w:r>
      <w:r>
        <w:rPr>
          <w:rFonts w:hint="default" w:ascii="Times New Roman" w:hAnsi="Times New Roman" w:eastAsia="仿宋_GB2312" w:cs="Times New Roman"/>
          <w:color w:val="000000"/>
          <w:kern w:val="0"/>
          <w:sz w:val="32"/>
          <w:szCs w:val="32"/>
          <w:lang w:bidi="ar"/>
        </w:rPr>
        <w:t>。</w:t>
      </w:r>
    </w:p>
    <w:p w14:paraId="6ED4AC8F">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2.2 钛及钛合金增强连续管</w:t>
      </w:r>
    </w:p>
    <w:p w14:paraId="1CF8A57B">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研究</w:t>
      </w:r>
      <w:r>
        <w:rPr>
          <w:rFonts w:hint="default" w:ascii="Times New Roman" w:hAnsi="Times New Roman" w:cs="Times New Roman"/>
          <w:b/>
          <w:bCs/>
          <w:color w:val="auto"/>
          <w:kern w:val="2"/>
          <w:sz w:val="32"/>
          <w:szCs w:val="32"/>
          <w:lang w:val="en-US" w:eastAsia="zh-CN" w:bidi="ar-SA"/>
        </w:rPr>
        <w:t>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攻关钛材与PE/PPR高分子复合成型技术，采用玻璃纤维/钢联带增强结构，攻克高承压、强耐腐蚀、抗反复盘卷、抗塌陷、抗冲击一体化技术壁垒，解决页岩气开采与极端环境油气输送关键技术难题，实现高性能连续管国产化替代。</w:t>
      </w:r>
    </w:p>
    <w:p w14:paraId="6DFA301B">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color w:val="auto"/>
          <w:kern w:val="2"/>
          <w:sz w:val="32"/>
          <w:szCs w:val="32"/>
          <w:highlight w:val="none"/>
          <w:lang w:val="en-US" w:eastAsia="zh-CN" w:bidi="ar-SA"/>
        </w:rPr>
        <w:t>研究开发一种新型复合管道，采用钛材与PE材料进行复合，以玻璃纤维或钢连带进行增强，使用PE或PPR材料包覆，从而实现成本低廉的耐腐蚀PE管道；承压不小于50MPa，单支长度不小于100米，可反复收盘5次以上无裂纹，正负压交替不塌陷，耐腐蚀与抗冲击性能大幅提升；申请发明专利不少于2件，制定行业标准1项；年产能不低于1000吨，年预期营收超过1亿元，取得至少1项极端环境的应用示范。</w:t>
      </w:r>
    </w:p>
    <w:p w14:paraId="5A8C1550">
      <w:pPr>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应在宝鸡市应用或落地转化，助力宝鸡</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569D5E63">
      <w:pPr>
        <w:rPr>
          <w:rFonts w:hint="default" w:ascii="Times New Roman" w:hAnsi="Times New Roman" w:cs="Times New Roman"/>
          <w:b/>
          <w:bCs/>
          <w:color w:val="000000"/>
          <w:kern w:val="0"/>
          <w:sz w:val="32"/>
          <w:szCs w:val="32"/>
          <w:lang w:val="en-US" w:eastAsia="zh-CN" w:bidi="ar"/>
        </w:rPr>
      </w:pPr>
    </w:p>
    <w:p w14:paraId="1F65D80C">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0000FF"/>
          <w:lang w:val="en-US" w:eastAsia="zh-CN"/>
        </w:rPr>
      </w:pPr>
      <w:r>
        <w:rPr>
          <w:rFonts w:hint="default" w:ascii="Times New Roman" w:hAnsi="Times New Roman" w:cs="Times New Roman"/>
          <w:color w:val="auto"/>
          <w:lang w:val="en-US" w:eastAsia="zh-CN"/>
        </w:rPr>
        <w:t>3.高端装备制造领域关键技术研发与应用</w:t>
      </w:r>
    </w:p>
    <w:p w14:paraId="64164804">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 xml:space="preserve">1 </w:t>
      </w:r>
      <w:r>
        <w:rPr>
          <w:rFonts w:hint="default" w:ascii="Times New Roman" w:hAnsi="Times New Roman" w:eastAsia="仿宋_GB2312" w:cs="Times New Roman"/>
          <w:b/>
          <w:bCs/>
          <w:color w:val="auto"/>
          <w:kern w:val="2"/>
          <w:sz w:val="32"/>
          <w:szCs w:val="32"/>
          <w:lang w:val="en-US" w:eastAsia="zh-CN" w:bidi="ar-SA"/>
        </w:rPr>
        <w:t>风电核心铜钢复合滑动轴承增材制造与可靠性验证</w:t>
      </w:r>
    </w:p>
    <w:p w14:paraId="093FEB0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开展风电铜钢复合滑动轴承增材制造与可靠性验证研究，突破铜钢复合冶金结合与增材成形关键技术，建立全寿命周期（20年）与全工况可靠性评价体系，形成自主可控的轴承制备技术体系，支撑大功率风电装备国产化，推动区域高端装备产业升级。</w:t>
      </w:r>
    </w:p>
    <w:p w14:paraId="43C85107">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highlight w:val="yellow"/>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熔覆尺寸≥Φ350×500mm，铜/钢界面结合强度≥250MPa，轴承平均比压≥20MPa，铜合金层致密度≥99%，最大气孔直径＜100μm，晶粒度8级以上；完成≥1000h台架耐久试验，极端工况无油膜破裂、无咬合失效，温升、磨损量满足设计要求；新增年产值5000万元；培养青年技术骨干3名，支撑高端风电轴承国产化替代；建立风电复杂可靠性验证体系，形成标准1项，突破关键技术2项，申请发明专利不少于2件。</w:t>
      </w:r>
    </w:p>
    <w:p w14:paraId="52DA47D6">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 xml:space="preserve">2 </w:t>
      </w:r>
      <w:r>
        <w:rPr>
          <w:rFonts w:hint="default" w:ascii="Times New Roman" w:hAnsi="Times New Roman" w:eastAsia="仿宋_GB2312" w:cs="Times New Roman"/>
          <w:b/>
          <w:bCs/>
          <w:color w:val="auto"/>
          <w:kern w:val="2"/>
          <w:sz w:val="32"/>
          <w:szCs w:val="32"/>
          <w:lang w:val="en-US" w:eastAsia="zh-CN" w:bidi="ar-SA"/>
        </w:rPr>
        <w:t>精密V形槽弧形导轨副磨削加工与测量关键技术</w:t>
      </w:r>
    </w:p>
    <w:p w14:paraId="0BA5E61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eastAsia="仿宋_GB2312" w:cs="Times New Roman"/>
          <w:color w:val="000000"/>
          <w:kern w:val="0"/>
          <w:sz w:val="32"/>
          <w:szCs w:val="32"/>
          <w:lang w:bidi="ar"/>
        </w:rPr>
        <w:t>突破高精度V形槽弧形导轨副磨削工艺技术、专用高硬度砂轮磨削加工修形技术、专用弧形导轨测量方法与技术</w:t>
      </w:r>
      <w:r>
        <w:rPr>
          <w:rFonts w:hint="default" w:ascii="Times New Roman" w:hAnsi="Times New Roman" w:eastAsia="仿宋_GB2312" w:cs="Times New Roman"/>
          <w:color w:val="000000"/>
          <w:kern w:val="0"/>
          <w:sz w:val="32"/>
          <w:szCs w:val="32"/>
          <w:lang w:eastAsia="zh-CN" w:bidi="ar"/>
        </w:rPr>
        <w:t>，</w:t>
      </w:r>
      <w:r>
        <w:rPr>
          <w:rFonts w:hint="default" w:ascii="Times New Roman" w:hAnsi="Times New Roman" w:eastAsia="仿宋_GB2312" w:cs="Times New Roman"/>
          <w:color w:val="000000"/>
          <w:kern w:val="0"/>
          <w:sz w:val="32"/>
          <w:szCs w:val="32"/>
          <w:lang w:bidi="ar"/>
        </w:rPr>
        <w:t>开展材料与磨削参数（速度、进给量、进给速度）匹配优化研究，实现V形槽表面良好压应力状态，提升导轨精度与寿命；研究砂轮与弧形导轨副啮合理论及修形方法，开发具备在机修形功能的高精度弧形导轨磨床，攻克砂轮修形难点；研发弧形导轨副专用测量工艺与设备，实现对圆弧、V形槽形状误差及位置误差的精密检测。</w:t>
      </w:r>
    </w:p>
    <w:p w14:paraId="2EC685BF">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highlight w:val="none"/>
          <w:lang w:val="en-US" w:eastAsia="zh-CN" w:bidi="ar-SA"/>
        </w:rPr>
        <w:t>开发精密弧形导轨副新产品：硬度HRC58-62，安装面平面度≤5μm，侧面与安装面的垂直度≤5μm，内外圆弧大小≤±0.02mm，内外圆弧圆度≤0.01mm，中心高平行度≤5μm，V槽珠子高（相对安装面）平行度≤5μm；申请发明专利不少于4件；新产品实现年产值弧形导轨副5000万元，培养一批导轨副精密加工与装备开发领域的人才。</w:t>
      </w:r>
    </w:p>
    <w:p w14:paraId="29D48543">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 xml:space="preserve"> 高端装备服役安全的钢结构疲劳损伤智能检测与风险预警关键技术研发</w:t>
      </w:r>
    </w:p>
    <w:p w14:paraId="288A301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针对桥梁、轨道交通、风电装备等复杂服役环境下的钢结构，研究多源实时感知与数据融合技术，融合声发射、应变、视觉等数据建立实时采集与融合分析方法，为疲劳损伤识别提供高质量数据基础；研究疲劳裂纹智能识别与量化技术，解决早期裂纹信号弱、定位难问题，实现高灵敏识别、精准定位与量化表征；研究疲劳损伤跨尺度演化建模与全周期寿命预测技术，建立从微裂纹萌生到宏观失稳的演化模型，构建剩余寿命预测与风险评估算法；以及研究数字孪生智能运维平台与预警示范应用技术，集成监测、分析、预测、预警与运维决策，形成可复制推广的钢结构智能运维解决方案。</w:t>
      </w:r>
    </w:p>
    <w:p w14:paraId="7D605BE7">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形成钢结构疲劳损伤智能检测装备、智能运维平台及寿命预测预警系统一套，实现监测数据实时接入、裂纹智能识别量化、跨尺度损伤演化建模、全周期寿命预测和风险预警反馈；实现裂纹最小识别尺度不超过0.1mm，损伤定位误差不超过50mm，寿命预测误差不超过15%，预警响应时间不超过5s，装备连续稳定运行不少于12个月；完成不少于1项典型场景示范，形成核心装备、软件平台及应用规范；申请发明专利不少于2件，实现产业化应用。</w:t>
      </w:r>
    </w:p>
    <w:p w14:paraId="12E43198">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 xml:space="preserve">4 </w:t>
      </w:r>
      <w:r>
        <w:rPr>
          <w:rFonts w:hint="default" w:ascii="Times New Roman" w:hAnsi="Times New Roman" w:eastAsia="仿宋_GB2312" w:cs="Times New Roman"/>
          <w:b/>
          <w:bCs/>
          <w:color w:val="auto"/>
          <w:kern w:val="2"/>
          <w:sz w:val="32"/>
          <w:szCs w:val="32"/>
          <w:lang w:val="en-US" w:eastAsia="zh-CN" w:bidi="ar-SA"/>
        </w:rPr>
        <w:t>极端低温低压工况用伺服控制系统的研究与开发</w:t>
      </w:r>
    </w:p>
    <w:p w14:paraId="3CE6A6F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开展耐低温永磁材料与低温润滑、抗脆化金属部件的优化匹配，解决材料磁衰减、润滑凝固及结构断裂导致的转矩不足与启动卡滞难题；研究宽温域功率器件与位置反馈模块的选型与补偿方案，克服开关损耗剧增、电容漂移及反馈误差增大等问题；研发面向极端环境的自适应控制算法，建立低温摩擦非线性与死区效应的动态补偿模型，替代常温PID参数，解决响应滞后与超调增大问题。通过材料、器件与算法的协同攻关，形成自主可控的极端低温低气压伺服控制系统，突破行业“卡脖子”技术瓶颈，满足低成本规模化应用需求。</w:t>
      </w:r>
    </w:p>
    <w:p w14:paraId="27C8E715">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伺服控制系统工作温度范围-90℃~+70℃，实现在-90℃环境下稳定启动与连续运行；定位精度</w:t>
      </w:r>
      <w:r>
        <w:rPr>
          <w:rFonts w:hint="eastAsia"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-90℃下位置误差≤±0.2°，转矩输出≥常温的90%；整套系统成本控制在同性能进口产品的1/5以内；形成极端低温低气压工况的伺服控制系统硬件1套、软件1套，申请发明专利不少于2件。</w:t>
      </w:r>
    </w:p>
    <w:p w14:paraId="2574EF84">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FF0000"/>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5</w:t>
      </w:r>
      <w:r>
        <w:rPr>
          <w:rFonts w:hint="default" w:ascii="Times New Roman" w:hAnsi="Times New Roman" w:eastAsia="仿宋_GB2312" w:cs="Times New Roman"/>
          <w:b/>
          <w:bCs/>
          <w:color w:val="auto"/>
          <w:kern w:val="2"/>
          <w:sz w:val="32"/>
          <w:szCs w:val="32"/>
          <w:lang w:val="en-US" w:eastAsia="zh-CN" w:bidi="ar-SA"/>
        </w:rPr>
        <w:t xml:space="preserve"> 新型机匣高温合金结构件精密成型加工关键技术研究与应用</w:t>
      </w:r>
    </w:p>
    <w:p w14:paraId="59C4F3B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针对燃气轮机机匣整流支柱结构复杂、壁厚差异大、铸造工艺窗口窄等难题，研究全流程数字化逆向补偿与尺寸精度主动控制技术，建立流场与温场精准模拟模型，优化刚柔匹配型壳设计，突破K452高温合金高钛、高铝含量导致的氧化倾向与补缩通道截断问题；同时研究面向K452合金的在线无损检测及修复技术，解析冶金缺陷机理并建立修复控制方法，形成涵盖缺陷识别、评估与再制造的闭环工艺。通过理论建模与工程验证相结合，构建适用于大尺寸、薄壁空心叶型结构的高品质低成本铸造工艺体系，提升大型机匣整流支柱的加工一致性与服役可靠性。</w:t>
      </w:r>
    </w:p>
    <w:p w14:paraId="1B414D01">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突破大型薄壁铸件充型平稳性控制技术、热裂纹一致与纤维缩松消除技术、大型异形构件不均匀收缩规律与高精度近净成型技术，解决大尺寸结构件（最大轮廓尺寸超过370mm、单件铸件重量达12kg）核心冶金与精度难题；完成K452薄壁空心叶型结构（最薄不大于2.5mm，最厚不小于20mm）补焊修复技术的工程化转化，形成标准化的补焊工艺规程与质量评价标准，实现缺陷件高效修复与性能达标；形成完整适配T16、M11A系列大型机匣整流支柱的熔模铸造全流程工艺规范；申请发明专利不少于2件。</w:t>
      </w:r>
    </w:p>
    <w:p w14:paraId="0756EFDE">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6</w:t>
      </w:r>
      <w:r>
        <w:rPr>
          <w:rFonts w:hint="default" w:ascii="Times New Roman" w:hAnsi="Times New Roman" w:eastAsia="仿宋_GB2312" w:cs="Times New Roman"/>
          <w:b/>
          <w:bCs/>
          <w:color w:val="auto"/>
          <w:kern w:val="2"/>
          <w:sz w:val="32"/>
          <w:szCs w:val="32"/>
          <w:lang w:val="en-US" w:eastAsia="zh-CN" w:bidi="ar-SA"/>
        </w:rPr>
        <w:t xml:space="preserve"> 航空钛合金作动筒精密加工关键技术研究与应用</w:t>
      </w:r>
    </w:p>
    <w:p w14:paraId="2392FFC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针对航空钛合金作动筒无氢渗氮后“硬表层、软芯部”梯度组织引发应力耦合、大余量切削形变失控的难题，研究渗氮梯度组织与残余应力动态演化规律，建立切削参数与应力释放的量化关联模型，实现变形主动控制；针对高硬脆渗氮层与深孔薄壁结构叠加导致的崩边、剥落、振纹等缺陷，开发专用刀具与梯度切削工艺，突破刃口过载与瞬时冲击抑制技术；面向无标准化工艺体系的现状，构建涵盖专用设备适配、参数优化及精度保持性的成套工艺方案，实现高精度、高稳定性的批量制造。</w:t>
      </w:r>
    </w:p>
    <w:p w14:paraId="2C0C4989">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lang w:val="en-US" w:eastAsia="zh-CN" w:bidi="ar-SA"/>
        </w:rPr>
        <w:t>作动筒关键配合内孔尺寸公差控制在±0.008mm以内，达到IT6精密级标准，常规孔径公差稳定控制在0.02mm以内；筒体总长160mm范围内圆柱度≤0.01mm，两端安装孔同轴度≤Φ0.015mm，圆度、直线度≤0.01mm；内壁密封工作面粗糙度Ra≤0.2μm，非关键工作面Ra≤0.4μm，无刀纹、划痕、微观裂纹，满足航空高压液压密封要求；3.0mm薄壁筒体加工后整体变形量≤0.02mm，无翘曲、塌陷、回弹缺陷；钛合金作动筒批量加工成品合格率≥95%；优化复合工艺流程，单件加工生产周期缩短30%以上；零件加工残余应力消除率≥90%，常温放置6个月尺寸漂移量≤0.008mm；申请发明专利不少于2件。</w:t>
      </w:r>
    </w:p>
    <w:p w14:paraId="0E7855CC">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1"/>
        <w:rPr>
          <w:rFonts w:hint="default" w:ascii="Times New Roman" w:hAnsi="Times New Roman"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3.7 二次电池玻璃基板高均匀性铜电镀设备的研究与开发</w:t>
      </w:r>
    </w:p>
    <w:p w14:paraId="05801EE3">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面向高端电子制造装备国产化需求，开发适用于玻璃基板的铜电镀设备，解决刚性脆性基板电镀厚度偏差大、通孔无空洞填充难等“卡脖子”问题。研究电解液配方、脉冲电流波形与流体流动协同控制技术，突破玻璃通孔内壁光滑导致的结合力弱与孔内空洞瓶颈；优化电解槽结构、阳极分段设计与喷嘴阵列参数，实现≥200mm×200mm基板整板厚度偏差≤5%；建立强制对流与实时浓度/温度监控系统，支撑≥4 A/dm²电流密度下稳定生产，满足二次电池模组、BMS、AI服务器封装及功率半导体封装等应用需求，形成自主可控的玻璃基板电镀工艺与装备方案。</w:t>
      </w:r>
    </w:p>
    <w:p w14:paraId="0705025A">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kern w:val="2"/>
          <w:sz w:val="32"/>
          <w:szCs w:val="32"/>
          <w:highlight w:val="none"/>
          <w:lang w:val="en-US" w:eastAsia="zh-CN" w:bidi="ar-SA"/>
        </w:rPr>
        <w:t>研制国产化玻璃基板专用铜电镀设备样机一台；通孔（深径比≥3:1）内部无空洞填充率100%；整板铜电镀厚度偏差≤5%（优于有机基板设备的8%～10%）；最大电流密度≥4 A/dm²，沉积速率相比现有设备提升≥30%；设备可处理玻璃基板尺寸≥200mm×200mm；形成首台套销售，单台设备产值≥1200万元人民币；培养电化学装备及工艺研发骨干≥8人；申请发明专利不少于2件。</w:t>
      </w:r>
    </w:p>
    <w:p w14:paraId="5E41D2BA">
      <w:pPr>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应在咸阳市应用或落地转化，助力咸阳</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11D36075">
      <w:pPr>
        <w:rPr>
          <w:rFonts w:hint="default" w:ascii="Times New Roman" w:hAnsi="Times New Roman" w:cs="Times New Roman"/>
          <w:b/>
          <w:bCs/>
          <w:color w:val="000000"/>
          <w:kern w:val="0"/>
          <w:sz w:val="32"/>
          <w:szCs w:val="32"/>
          <w:lang w:val="en-US" w:eastAsia="zh-CN" w:bidi="ar"/>
        </w:rPr>
      </w:pPr>
    </w:p>
    <w:p w14:paraId="2A89CEF9">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4.航空航天及特殊场景高端装备与核心材料关键技术开发及应用</w:t>
      </w:r>
    </w:p>
    <w:p w14:paraId="642F4F1A">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b/>
          <w:bCs/>
          <w:color w:val="auto"/>
          <w:spacing w:val="-6"/>
          <w:sz w:val="32"/>
          <w:lang w:val="en-US" w:eastAsia="zh-CN"/>
        </w:rPr>
      </w:pPr>
      <w:r>
        <w:rPr>
          <w:rFonts w:hint="default" w:ascii="Times New Roman" w:hAnsi="Times New Roman" w:cs="Times New Roman"/>
          <w:color w:val="auto"/>
          <w:lang w:val="en-US" w:eastAsia="zh-CN"/>
        </w:rPr>
        <w:t xml:space="preserve">4.1 </w:t>
      </w:r>
      <w:r>
        <w:rPr>
          <w:rFonts w:hint="default" w:ascii="Times New Roman" w:hAnsi="Times New Roman" w:cs="Times New Roman"/>
          <w:b/>
          <w:bCs/>
          <w:color w:val="auto"/>
          <w:spacing w:val="-6"/>
          <w:sz w:val="32"/>
          <w:lang w:val="en-US" w:eastAsia="zh-CN"/>
        </w:rPr>
        <w:t>航天飞行器超快响应高压微特电路技术</w:t>
      </w:r>
    </w:p>
    <w:p w14:paraId="1E18325A">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针对高压微特驱动电路在拓扑效率与波形质量难以兼顾、高压绝缘约束下超高功率密度微组装集成困难以及多物理场耦合导致系统协同优化难三大技术难题，开展核心拓扑创新与国产SiC器件适配研究。建立高压应力多维分解与瞬态-稳态分域协同的驱动拓扑调控方法，实现低谐波、高效率与快响应的统一；突破高压隔离与低寄生参数互连的异质异构集成设计，解决镓基合金界面反应与接触电阻漂移问题；构建融合电路物理约束与数据驱动的多物理场代理模型与多目标优化方法，实现电-热-力三场协同。研制自主可控的高功率密度超快响应驱动原理样机，填补航天高压微特驱动技术体系空白。</w:t>
      </w:r>
    </w:p>
    <w:p w14:paraId="6C523706">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b w:val="0"/>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color w:val="auto"/>
          <w:kern w:val="2"/>
          <w:sz w:val="32"/>
          <w:szCs w:val="32"/>
          <w:highlight w:val="none"/>
          <w:lang w:val="en-US" w:eastAsia="zh-CN" w:bidi="ar-SA"/>
        </w:rPr>
        <w:t>驱动控制电路输入电压范围130V±10V；频带宽度DC～100Hz；位置控制精度±5%FS；形成高压超快响应微特驱动样机1套；形成自主可控高压驱动拓扑方案1套；形成三维异质集成微组装样件1套；申请发明专利≥1件。</w:t>
      </w:r>
    </w:p>
    <w:p w14:paraId="0674A49A">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4.2 液体火箭发动机极端环境下的自紧式密封关键技术研究与应用</w:t>
      </w:r>
    </w:p>
    <w:p w14:paraId="1F2A6134">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cs="Times New Roman"/>
          <w:b w:val="0"/>
          <w:color w:val="auto"/>
          <w:kern w:val="2"/>
          <w:sz w:val="32"/>
          <w:szCs w:val="32"/>
          <w:lang w:val="en-US" w:eastAsia="zh-CN" w:bidi="ar-SA"/>
        </w:rPr>
        <w:t>针对可重复使用发动机密封在宽温域（-196℃至+650℃）、高压差（0-35MPa）、强振动及多次启停变工况下的可靠性难题，系统研究弹塑性变形、密封面贴合与泄漏通道的耦合机理，揭示高低温交变下材料疲劳、界面磨损与介质腐蚀演化规律，建立密封寿命预测模型与失效阈值判定方法。突破低泄漏、长寿命密封结构设计技术，构建航天级高一致性自紧式密封精密制造与检测质控体系，形成热振耦合环境下密封性能验证与标定方法。完成可重复使用≥50次、工作时长≥1000s的密封寿命与可靠性工程化验证，为我国可重复使用发动机提供自主可控的密封技术支撑。</w:t>
      </w:r>
    </w:p>
    <w:p w14:paraId="5168E8DE">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auto"/>
          <w:sz w:val="32"/>
          <w:szCs w:val="32"/>
          <w:highlight w:val="none"/>
          <w:lang w:val="en-US" w:eastAsia="zh-CN"/>
        </w:rPr>
        <w:t>工作温度范围（-196℃至+650℃），耐高压（0-35MPa）、振动频率5</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2000Hz,加速度≤50g，无松动、无泄漏；满足氦质谱检漏标准≤1×10</w:t>
      </w:r>
      <w:r>
        <w:rPr>
          <w:rFonts w:hint="eastAsia" w:eastAsia="仿宋_GB2312" w:cs="Times New Roman"/>
          <w:color w:val="auto"/>
          <w:sz w:val="32"/>
          <w:szCs w:val="32"/>
          <w:highlight w:val="none"/>
          <w:vertAlign w:val="superscript"/>
          <w:lang w:val="en-US" w:eastAsia="zh-CN"/>
        </w:rPr>
        <w:t>-</w:t>
      </w:r>
      <w:r>
        <w:rPr>
          <w:rFonts w:hint="default" w:ascii="Times New Roman" w:hAnsi="Times New Roman" w:eastAsia="仿宋_GB2312" w:cs="Times New Roman"/>
          <w:color w:val="auto"/>
          <w:sz w:val="32"/>
          <w:szCs w:val="32"/>
          <w:highlight w:val="none"/>
          <w:vertAlign w:val="superscript"/>
          <w:lang w:val="en-US" w:eastAsia="zh-CN"/>
        </w:rPr>
        <w:t>9</w:t>
      </w:r>
      <w:r>
        <w:rPr>
          <w:rFonts w:hint="default" w:ascii="Times New Roman" w:hAnsi="Times New Roman" w:eastAsia="仿宋_GB2312" w:cs="Times New Roman"/>
          <w:color w:val="auto"/>
          <w:sz w:val="32"/>
          <w:szCs w:val="32"/>
          <w:highlight w:val="none"/>
          <w:lang w:val="en-US" w:eastAsia="zh-CN"/>
        </w:rPr>
        <w:t>Pa·m</w:t>
      </w:r>
      <w:r>
        <w:rPr>
          <w:rFonts w:hint="default" w:ascii="Times New Roman" w:hAnsi="Times New Roman" w:eastAsia="仿宋_GB2312" w:cs="Times New Roman"/>
          <w:color w:val="auto"/>
          <w:sz w:val="32"/>
          <w:szCs w:val="32"/>
          <w:highlight w:val="none"/>
          <w:vertAlign w:val="superscript"/>
          <w:lang w:val="en-US" w:eastAsia="zh-CN"/>
        </w:rPr>
        <w:t>3</w:t>
      </w:r>
      <w:r>
        <w:rPr>
          <w:rFonts w:hint="default" w:ascii="Times New Roman" w:hAnsi="Times New Roman" w:eastAsia="仿宋_GB2312" w:cs="Times New Roman"/>
          <w:color w:val="auto"/>
          <w:sz w:val="32"/>
          <w:szCs w:val="32"/>
          <w:highlight w:val="none"/>
          <w:lang w:val="en-US" w:eastAsia="zh-CN"/>
        </w:rPr>
        <w:t>/s，气体/液体介质无泄漏；可重复使用≥50次</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单次连续工作时间≥200s</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累计工作时长≥1000s；过发动机热试车验证不少于2次，通过环境试验和可靠性验证；形成自紧式密封设计手册、材料手册、工艺规程、测试规范各1套</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申请发明专利1件</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制定标准1份；降低发动机密封成本≥30%。</w:t>
      </w:r>
    </w:p>
    <w:p w14:paraId="5FB336B2">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4</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3</w:t>
      </w:r>
      <w:r>
        <w:rPr>
          <w:rFonts w:hint="default" w:ascii="Times New Roman" w:hAnsi="Times New Roman" w:cs="Times New Roman"/>
          <w:color w:val="auto"/>
          <w:lang w:val="en-US" w:eastAsia="zh-CN"/>
        </w:rPr>
        <w:t xml:space="preserve"> </w:t>
      </w:r>
      <w:r>
        <w:rPr>
          <w:rFonts w:hint="default" w:ascii="Times New Roman" w:hAnsi="Times New Roman" w:eastAsia="仿宋_GB2312" w:cs="Times New Roman"/>
          <w:b/>
          <w:bCs/>
          <w:color w:val="auto"/>
          <w:kern w:val="2"/>
          <w:sz w:val="32"/>
          <w:szCs w:val="32"/>
          <w:lang w:val="en-US" w:eastAsia="zh-CN" w:bidi="ar-SA"/>
        </w:rPr>
        <w:t>航空航天用5N级高纯铝定向凝固高效提纯关键技术研究与应用</w:t>
      </w:r>
    </w:p>
    <w:p w14:paraId="7AD64AB1">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面向航空航天、半导体及电子信息领域对5N级（纯度≥99.999%）高纯铝的迫切需求，针对定向凝固提纯工艺中固液界面失稳、Fe/Si杂质协同去除效率低、工艺稳定性差及工业化适配不足等瓶颈开展研究；揭示高纯铝偏析提纯机理；优化热场梯度与固液界面调控，结合辉光放电质谱仪分析工艺参数对杂质分离的影响，揭示蒸发与分凝耦合的杂质去除规律；建立多场耦合杂质分离理论模型，开发适配规模化生产的低能耗、高稳定性成套技术，形成5N级高纯铝制备方案。</w:t>
      </w:r>
    </w:p>
    <w:p w14:paraId="2528F355">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auto"/>
          <w:sz w:val="32"/>
          <w:szCs w:val="32"/>
          <w:highlight w:val="none"/>
          <w:lang w:val="en-US" w:eastAsia="zh-CN"/>
        </w:rPr>
        <w:t>突破5N级高纯铝定向凝固提纯核心技术，形成自主可控的成套制备工艺与技术规范，符合YS/T 665-2024最新国家标准；稳定制备5N级高纯铝，Al纯度≥99.999%，杂质总含量≤10ppm；关键杂质限值：Fe≤2ppm、Si≤2ppm、Cu≤1ppm、Ga≤2ppm、Zn≤1ppm，Ti、V等难去除杂质单个≤0.1ppm；吨铝提纯综合能耗≤9700kWh，达到行业成熟量产水平；申请国家发明专利2件，形成核心工艺操作规范1套。</w:t>
      </w:r>
    </w:p>
    <w:p w14:paraId="2DD5658A">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4</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4</w:t>
      </w:r>
      <w:r>
        <w:rPr>
          <w:rFonts w:hint="default" w:ascii="Times New Roman" w:hAnsi="Times New Roman" w:cs="Times New Roman"/>
          <w:color w:val="auto"/>
          <w:lang w:val="en-US" w:eastAsia="zh-CN"/>
        </w:rPr>
        <w:t xml:space="preserve"> </w:t>
      </w:r>
      <w:r>
        <w:rPr>
          <w:rFonts w:hint="default" w:ascii="Times New Roman" w:hAnsi="Times New Roman" w:eastAsia="仿宋_GB2312" w:cs="Times New Roman"/>
          <w:b/>
          <w:bCs/>
          <w:color w:val="auto"/>
          <w:kern w:val="2"/>
          <w:sz w:val="32"/>
          <w:szCs w:val="32"/>
          <w:lang w:val="en-US" w:eastAsia="zh-CN" w:bidi="ar-SA"/>
        </w:rPr>
        <w:t>航空亚共晶Al-Si系（4032/4Y32）活塞合金成分精准调控与锻造</w:t>
      </w:r>
      <w:r>
        <w:rPr>
          <w:rFonts w:hint="eastAsia" w:cs="Times New Roman"/>
          <w:b/>
          <w:bCs/>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热处理一体化关键技术研究及产业化</w:t>
      </w:r>
    </w:p>
    <w:p w14:paraId="6F11AF69">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color w:val="auto"/>
          <w:spacing w:val="6"/>
          <w:sz w:val="32"/>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针对初晶硅形核-生长竞争机制难控问题，优化变质工艺克服高温烧损与团聚，实现初晶硅弥散形核；针对杂质相与强韧性平衡壁垒，调控均匀化工艺将针状β-Fe相转化为无害α相，保障延伸率≥5.5%且不削弱高温强度；针对窄窗热工艺敏感性，建立固溶-淬火-时效平衡模型，避免初晶硅过烧与强化相粗化；面向中试放大，攻克变质剂收得率波动、温度场不均及氢含量高等难题，建立以初晶硅尺寸分布为核心的统计过程控制体系，实现从实验室到批量稳定交付的跨越。</w:t>
      </w:r>
    </w:p>
    <w:p w14:paraId="133ECBF9">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初晶Si≤40μm、Rm≥470MPa、Rp0.2≥410MPa、A≥5.5%；形成1套新SOP熔炼</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变质</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热处理方法；制定标准≥1项</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申请发明专利≥2件；连续中试≥2炉</w:t>
      </w:r>
      <w:r>
        <w:rPr>
          <w:rFonts w:hint="eastAsia"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达到批量稳定交付能力；新增产值5000万元以上；新增就业25人。</w:t>
      </w:r>
    </w:p>
    <w:p w14:paraId="4C2E5145">
      <w:pPr>
        <w:keepNext w:val="0"/>
        <w:keepLines w:val="0"/>
        <w:pageBreakBefore w:val="0"/>
        <w:widowControl w:val="0"/>
        <w:numPr>
          <w:ilvl w:val="0"/>
          <w:numId w:val="0"/>
        </w:numPr>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4</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5</w:t>
      </w:r>
      <w:r>
        <w:rPr>
          <w:rFonts w:hint="default" w:ascii="Times New Roman" w:hAnsi="Times New Roman" w:cs="Times New Roman"/>
          <w:color w:val="auto"/>
          <w:lang w:val="en-US" w:eastAsia="zh-CN"/>
        </w:rPr>
        <w:t xml:space="preserve"> </w:t>
      </w:r>
      <w:r>
        <w:rPr>
          <w:rFonts w:hint="default" w:ascii="Times New Roman" w:hAnsi="Times New Roman" w:eastAsia="仿宋_GB2312" w:cs="Times New Roman"/>
          <w:b/>
          <w:bCs/>
          <w:color w:val="auto"/>
          <w:kern w:val="2"/>
          <w:sz w:val="32"/>
          <w:szCs w:val="32"/>
          <w:lang w:val="en-US" w:eastAsia="zh-CN" w:bidi="ar-SA"/>
        </w:rPr>
        <w:t>航空航天领域专用电磁阀密封圈关键技术及产业化</w:t>
      </w:r>
    </w:p>
    <w:p w14:paraId="01C4E39B">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color w:val="auto"/>
          <w:spacing w:val="-11"/>
          <w:sz w:val="32"/>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cs="Times New Roman"/>
          <w:color w:val="auto"/>
          <w:lang w:val="en-US" w:eastAsia="zh-CN"/>
        </w:rPr>
        <w:t>揭示航空航天专用电磁阀密封圈在高频、高压及污染介质工况下摩擦热、磨粒与化学介质耦合作用下的动态磨损机理，解决传统密封圈材料在提升耐磨性时导致低温弹性劣化的性能协同矛盾；通过表面修饰纳米二氧化硅与碳纳米管多尺度填料来增强与反应性液体橡胶增韧，协同优化材料的耐磨、力学与宽温域弹性；结合密封结构仿生优化与表面微织构设计，改善润滑、降低摩擦；建立综合加速寿命试验方法进行验证，开发出满足极端环境要求的高性能长寿命密封件。</w:t>
      </w:r>
    </w:p>
    <w:p w14:paraId="4441DC23">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auto"/>
          <w:spacing w:val="-11"/>
          <w:sz w:val="32"/>
          <w:szCs w:val="32"/>
          <w:highlight w:val="none"/>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auto"/>
          <w:spacing w:val="-11"/>
          <w:sz w:val="32"/>
          <w:szCs w:val="32"/>
          <w:highlight w:val="none"/>
        </w:rPr>
        <w:t>硬度（邵氏A）70±5、拉伸强度≥15MPa、拉断伸长率≥300%；确保-40℃下的压缩永久变形≤40%，保障宽温域弹性；平均动摩擦系数＜0.15，磨损率降低50%；工作温度范围须覆盖-55℃至150℃；体积变化率需≤±10%，力学性能保持率≥80%；完成≥100万次循环无泄漏；其动静密封性能均需满足氦检漏率≤1×10</w:t>
      </w:r>
      <w:r>
        <w:rPr>
          <w:rFonts w:hint="default" w:ascii="Times New Roman" w:hAnsi="Times New Roman" w:eastAsia="仿宋_GB2312" w:cs="Times New Roman"/>
          <w:color w:val="auto"/>
          <w:spacing w:val="-11"/>
          <w:sz w:val="32"/>
          <w:szCs w:val="32"/>
          <w:highlight w:val="none"/>
          <w:vertAlign w:val="superscript"/>
        </w:rPr>
        <w:t>-5</w:t>
      </w:r>
      <w:r>
        <w:rPr>
          <w:rFonts w:hint="default" w:ascii="Times New Roman" w:hAnsi="Times New Roman" w:eastAsia="仿宋_GB2312" w:cs="Times New Roman"/>
          <w:color w:val="auto"/>
          <w:spacing w:val="-11"/>
          <w:sz w:val="32"/>
          <w:szCs w:val="32"/>
          <w:highlight w:val="none"/>
        </w:rPr>
        <w:t>scc/s，关键尺寸公差±0.10mm；新增产值1000万元以上，新增就业10人以上，培养研究生2人，完成1项科技成果转化。</w:t>
      </w:r>
    </w:p>
    <w:p w14:paraId="0FB01499">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应在铜川市应用或落地转化，助力铜川</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1A1328E6">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46CF3734">
      <w:pPr>
        <w:keepNext w:val="0"/>
        <w:keepLines w:val="0"/>
        <w:pageBreakBefore w:val="0"/>
        <w:widowControl w:val="0"/>
        <w:suppressAutoHyphens/>
        <w:kinsoku/>
        <w:wordWrap/>
        <w:overflowPunct/>
        <w:topLinePunct w:val="0"/>
        <w:autoSpaceDE/>
        <w:autoSpaceDN/>
        <w:bidi w:val="0"/>
        <w:adjustRightInd/>
        <w:snapToGrid/>
        <w:spacing w:line="520" w:lineRule="exact"/>
        <w:ind w:firstLine="640" w:firstLineChars="200"/>
        <w:jc w:val="both"/>
        <w:textAlignment w:val="auto"/>
        <w:outlineLvl w:val="0"/>
        <w:rPr>
          <w:rFonts w:hint="default" w:ascii="Times New Roman" w:hAnsi="Times New Roman" w:eastAsia="黑体" w:cs="Times New Roman"/>
          <w:color w:val="auto"/>
          <w:kern w:val="44"/>
          <w:sz w:val="32"/>
          <w:szCs w:val="32"/>
          <w:lang w:val="en-US" w:eastAsia="zh-CN" w:bidi="ar-SA"/>
        </w:rPr>
      </w:pPr>
      <w:r>
        <w:rPr>
          <w:rFonts w:hint="default" w:ascii="Times New Roman" w:hAnsi="Times New Roman" w:eastAsia="黑体" w:cs="Times New Roman"/>
          <w:color w:val="auto"/>
          <w:kern w:val="44"/>
          <w:sz w:val="32"/>
          <w:szCs w:val="32"/>
          <w:lang w:val="en-US" w:eastAsia="zh-CN" w:bidi="ar-SA"/>
        </w:rPr>
        <w:t>5.材料深加工关键技术研究与应用</w:t>
      </w:r>
    </w:p>
    <w:p w14:paraId="3F61AA89">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黑体" w:cs="Times New Roman"/>
          <w:color w:val="auto"/>
          <w:kern w:val="44"/>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5.1</w:t>
      </w:r>
      <w:r>
        <w:rPr>
          <w:rFonts w:hint="default" w:ascii="Times New Roman" w:hAnsi="Times New Roman" w:eastAsia="仿宋_GB2312" w:cs="Times New Roman"/>
          <w:b/>
          <w:bCs/>
          <w:color w:val="auto"/>
          <w:kern w:val="2"/>
          <w:sz w:val="32"/>
          <w:szCs w:val="32"/>
          <w:lang w:val="en-US" w:eastAsia="zh-CN" w:bidi="ar-SA"/>
        </w:rPr>
        <w:t xml:space="preserve"> 碳热还原氮化法连续生产氮化钒铁中试技术工艺开发</w:t>
      </w:r>
    </w:p>
    <w:p w14:paraId="0D335014">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开发以氧化钒为原料的短流程、低成本、可连续化生产高性能氮化钒铁工艺；研究反应过程中合金块的烧结致密化以及熔化粘结问题，制备具有高密度的合金从而增加炼钢过程中的收得率；阐明还原氮化过程中氧的脱除与渗碳和渗氮的耦合机制，实现氮化钒铁产品中碳、氮、氧的有效控制，并最终制备低残余氧和碳、高N/V比的氮化钒铁合金。</w:t>
      </w:r>
    </w:p>
    <w:p w14:paraId="24A97652">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开发一套完整的短流程、可连续生产制备高质量氮化钒铁的全新工艺流程和满足工艺要求的工装装备，并建立不低于100公斤/天氮化钒铁合金的中试生产线；实现3种氮化钒铁产品牌号（FeV45N、FeV55N、FeV65N）的稳定、连续化生产，其钒含量分别为43%-47%，53%-57%和63%-67%；合金的氮含量不低于10%，12%和14%；碳含量不高于1.5%；氧含量不高于1%；密度分别不低于5.4</w:t>
      </w:r>
      <w:r>
        <w:rPr>
          <w:rFonts w:hint="default" w:ascii="Times New Roman" w:hAnsi="Times New Roman"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5.0和4.6 g/cm</w:t>
      </w:r>
      <w:r>
        <w:rPr>
          <w:rFonts w:hint="default" w:ascii="Times New Roman" w:hAnsi="Times New Roman" w:eastAsia="仿宋_GB2312" w:cs="Times New Roman"/>
          <w:b w:val="0"/>
          <w:color w:val="auto"/>
          <w:kern w:val="2"/>
          <w:sz w:val="32"/>
          <w:szCs w:val="32"/>
          <w:vertAlign w:val="superscript"/>
          <w:lang w:val="en-US" w:eastAsia="zh-CN" w:bidi="ar-SA"/>
        </w:rPr>
        <w:t>3</w:t>
      </w:r>
      <w:r>
        <w:rPr>
          <w:rFonts w:hint="eastAsia"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申请发明专利2-3件。</w:t>
      </w:r>
    </w:p>
    <w:p w14:paraId="74C99193">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5.2</w:t>
      </w:r>
      <w:r>
        <w:rPr>
          <w:rFonts w:hint="default" w:ascii="Times New Roman" w:hAnsi="Times New Roman" w:eastAsia="黑体" w:cs="Times New Roman"/>
          <w:color w:val="auto"/>
          <w:kern w:val="44"/>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eastAsia="zh-CN" w:bidi="ar-SA"/>
        </w:rPr>
        <w:t>含砷危险废物高质化资源化利用关键技术研发与产业化应用</w:t>
      </w:r>
    </w:p>
    <w:p w14:paraId="261906C5">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研发冷顶式垂直全电熔炉玻璃化固砷技术，通过低温炉顶+熔体隔绝层的双重防控，实现砷元素的100%稳定固化，解决高温玻璃化过程中砷易挥发泄漏的行业共性难题。开发含砷危废玻璃化产物的高值化应用技术，将固化产物制备为符合国标要求的工艺水晶饰品毛坯和玻璃空心砖，实现危废从“刚性填埋”到“高值化产品”的全链条资源化利用。</w:t>
      </w:r>
    </w:p>
    <w:p w14:paraId="630D068C">
      <w:pPr>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color w:val="auto"/>
          <w:kern w:val="2"/>
          <w:sz w:val="32"/>
          <w:szCs w:val="32"/>
          <w:lang w:val="en-US" w:eastAsia="zh-CN" w:bidi="ar-SA"/>
        </w:rPr>
        <w:t>玻璃化固砷率≥99.9%，产品符合GB/T28796-2021、JC/T1007-2006国标要求；形成成套产业化技术1套</w:t>
      </w:r>
      <w:r>
        <w:rPr>
          <w:rFonts w:hint="eastAsia"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申请发明专利2-3件。</w:t>
      </w:r>
    </w:p>
    <w:p w14:paraId="33330432">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5.3</w:t>
      </w:r>
      <w:r>
        <w:rPr>
          <w:rFonts w:hint="default" w:ascii="Times New Roman" w:hAnsi="Times New Roman" w:eastAsia="黑体" w:cs="Times New Roman"/>
          <w:color w:val="auto"/>
          <w:kern w:val="44"/>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eastAsia="zh-CN" w:bidi="ar-SA"/>
        </w:rPr>
        <w:t>严酷工况锌液强腐蚀用H13钢组织性能调控关键技术研究</w:t>
      </w:r>
    </w:p>
    <w:p w14:paraId="5C233B80">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针对严酷工况高流速锌液强冲蚀/高磨蚀/热疲劳耦合损伤机理复杂、抗熔蚀材料组相损伤协同性差、表面产物膜易脱落等关键科学问题，研究H13钢在力/热/流多场作用下的锌液冲蚀磨损机理，探明Mo、Cr、Si、B等微合金元素对H13钢锌液抗冲蚀磨损的组织调控机理，揭示高流速冲蚀磨损耦合下H13钢表面膜抑制剥落机制，形成高损伤抗力H13钢抗动态锌液熔蚀材料-结构-性能协同匹配的组织设计与调控方法，攻克核心作业装备高性能化关键技术。</w:t>
      </w:r>
    </w:p>
    <w:p w14:paraId="5EAAAE12">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vertAlign w:val="baseline"/>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sz w:val="32"/>
          <w:szCs w:val="32"/>
          <w:vertAlign w:val="baseline"/>
        </w:rPr>
        <w:t>建立H13钢抗锌液冲蚀磨损机理和微合金化组织性能协同调控技术；建立H13钢抗锌液损伤关键数据库；抗锌液冲蚀磨损性能较316L提高2倍以上，较WC涂层提高1倍以上；申请发明专利2-5件，培养研究生1-2人。</w:t>
      </w:r>
    </w:p>
    <w:p w14:paraId="0567787A">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5.4</w:t>
      </w:r>
      <w:r>
        <w:rPr>
          <w:rFonts w:hint="default" w:ascii="Times New Roman" w:hAnsi="Times New Roman" w:eastAsia="黑体" w:cs="Times New Roman"/>
          <w:color w:val="auto"/>
          <w:kern w:val="44"/>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eastAsia="zh-CN" w:bidi="ar-SA"/>
        </w:rPr>
        <w:t>高端精密板带材二十辊轧机核心制造技术及智能化装备攻关</w:t>
      </w:r>
    </w:p>
    <w:p w14:paraId="19D5E0D2">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针对高端精密板带材生产中二十辊轧机制造技术瓶颈，开展二十辊轧机“塔形”辊系精确装配与预紧力控制技术、高刚度牌坊与液压AGC（自动厚度控制）系统集成技术、二十辊机架梅花孔高精度制造技术、二十辊机架梅花孔尺寸在线/离线高精度检测技术、基于数字孪生的二十辊轧机虚拟调试与故障预测系统、面向极薄带材（&lt;0.05mm）生产的张力与板形协同控制技术、绿色低噪传动系统与能量回收集成制造技术研究。</w:t>
      </w:r>
    </w:p>
    <w:p w14:paraId="631A0DAD">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color w:val="auto"/>
          <w:kern w:val="2"/>
          <w:sz w:val="32"/>
          <w:szCs w:val="32"/>
          <w:lang w:val="en-US" w:eastAsia="zh-CN" w:bidi="ar-SA"/>
        </w:rPr>
        <w:t>研制二十辊轧机样机1台，轧制速度≥600m/min，极薄带材&lt;0.05mm板厚精度控制在±1μm以内，板形精度≤5I；机架梅花孔加工精度达IT5级，表面粗糙度Ra≤0.4μm</w:t>
      </w:r>
      <w:r>
        <w:rPr>
          <w:rFonts w:hint="eastAsia" w:eastAsia="仿宋_GB2312"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申请发明专利3-5件，制定标准1项。</w:t>
      </w:r>
    </w:p>
    <w:p w14:paraId="4DA5AFED">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5.5</w:t>
      </w:r>
      <w:r>
        <w:rPr>
          <w:rFonts w:hint="default" w:ascii="Times New Roman" w:hAnsi="Times New Roman" w:eastAsia="黑体" w:cs="Times New Roman"/>
          <w:color w:val="auto"/>
          <w:kern w:val="44"/>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eastAsia="zh-CN" w:bidi="ar-SA"/>
        </w:rPr>
        <w:t>建筑工程用智能化高效钢筋加工装备关键技术攻关及产业化</w:t>
      </w:r>
    </w:p>
    <w:p w14:paraId="7452B0C0">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开发多规格钢筋自适应识别与精准矫直一体化控制技术，解决传统设备适配性差、矫直精度不足的行业痛点；开发钢筋切断/弯曲过程的全流程在线监测与误差闭环修正技术，实现±1mm级加工精度；开发钢筋加工生产线的数字孪生建模与智能排产优化系统，提升设备利用率30%以上；低能耗、低噪声钢筋加工工艺与设备结构优化，较传统设备降低能耗20%、噪声15%；多工序模块化集成设计，实现钢筋矫直、切断、弯曲、成型的柔性化一键切换，适配不同工程场景需求；开发钢筋加工质量数据的实时采集与溯源系统，满足建筑工程质量全流程监管要求；开展基于边缘计算的钢筋加工设备远程运维与故障预警技术研究，降低设备停机率25%；</w:t>
      </w:r>
      <w:r>
        <w:rPr>
          <w:rFonts w:hint="eastAsia" w:cs="Times New Roman"/>
          <w:b w:val="0"/>
          <w:color w:val="auto"/>
          <w:kern w:val="2"/>
          <w:sz w:val="32"/>
          <w:szCs w:val="32"/>
          <w:lang w:val="en-US" w:eastAsia="zh-CN" w:bidi="ar-SA"/>
        </w:rPr>
        <w:t>研发</w:t>
      </w:r>
      <w:r>
        <w:rPr>
          <w:rFonts w:hint="default" w:ascii="Times New Roman" w:hAnsi="Times New Roman" w:eastAsia="仿宋_GB2312" w:cs="Times New Roman"/>
          <w:b w:val="0"/>
          <w:color w:val="auto"/>
          <w:kern w:val="2"/>
          <w:sz w:val="32"/>
          <w:szCs w:val="32"/>
          <w:lang w:val="en-US" w:eastAsia="zh-CN" w:bidi="ar-SA"/>
        </w:rPr>
        <w:t>符合建筑工业化标准的钢筋部品自动化加工工艺，支撑装配式建筑高效施工。</w:t>
      </w:r>
    </w:p>
    <w:p w14:paraId="38311410">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color w:val="auto"/>
          <w:kern w:val="2"/>
          <w:sz w:val="32"/>
          <w:szCs w:val="32"/>
          <w:lang w:val="en-US" w:eastAsia="zh-CN" w:bidi="ar-SA"/>
        </w:rPr>
        <w:t>开发多规格钢筋自适应识别与精准矫直一体化控制装备1套，矫直精度±1mm，切断精度±1mm，弯曲角度误差±1°；设备能耗较传统机型降低20%，噪声降低15%；设备利用率≥90%，废品率≤0.5%；实现产业化应用。</w:t>
      </w:r>
    </w:p>
    <w:p w14:paraId="2B1F1011">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outlineLvl w:val="1"/>
        <w:rPr>
          <w:rFonts w:hint="default" w:ascii="Times New Roman" w:hAnsi="Times New Roman" w:eastAsia="黑体" w:cs="Times New Roman"/>
          <w:color w:val="auto"/>
          <w:kern w:val="44"/>
          <w:sz w:val="32"/>
          <w:szCs w:val="32"/>
          <w:lang w:val="en-US" w:eastAsia="zh-CN" w:bidi="ar-SA"/>
        </w:rPr>
      </w:pPr>
      <w:r>
        <w:rPr>
          <w:rFonts w:hint="default" w:ascii="Times New Roman" w:hAnsi="Times New Roman" w:eastAsia="黑体" w:cs="Times New Roman"/>
          <w:b/>
          <w:bCs/>
          <w:color w:val="auto"/>
          <w:kern w:val="44"/>
          <w:sz w:val="32"/>
          <w:szCs w:val="32"/>
          <w:lang w:val="en-US" w:eastAsia="zh-CN" w:bidi="ar-SA"/>
        </w:rPr>
        <w:t>5.6</w:t>
      </w:r>
      <w:r>
        <w:rPr>
          <w:rFonts w:hint="default" w:ascii="Times New Roman" w:hAnsi="Times New Roman" w:eastAsia="黑体" w:cs="Times New Roman"/>
          <w:color w:val="auto"/>
          <w:kern w:val="44"/>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eastAsia="zh-CN" w:bidi="ar-SA"/>
        </w:rPr>
        <w:t>新型金属复合材料绿色制备关键技术攻关及产业化</w:t>
      </w:r>
    </w:p>
    <w:p w14:paraId="79EEA18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面向智能电网、新能源汽车、高铁及半导体封装等领域对高性能金属复合材料的迫切需求，聚焦真空多元复合制备技术，重点突破三大关键技术：一是异质材料界面诱导熔渗调控技术，揭示铜-铬、铝-金刚石等组元界面润湿性差与结合强度低的机理，探明诱导金属粉添加及吉布斯自由能调控对界面冶金结合的强化机制，实现低温低压稳定结合；二是大吨位全真空熔炼成分精确控制技术，研究电磁搅拌与温度场对Cr、Zr等高活性元素分布的影响，攻克烧损与成分偏差难题，形成吨级高品质铜合金铸锭稳定制备能力；三是短流程绿色高效熔渗工艺集成技术，开发新一代真空熔渗短流程工艺，实现材料利用率提升与近零排放，构建“熔渗+熔炼+热压”绿色制备技术体系并推动产业化示范。</w:t>
      </w:r>
    </w:p>
    <w:p w14:paraId="56EC724D">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b w:val="0"/>
          <w:color w:val="auto"/>
          <w:kern w:val="2"/>
          <w:sz w:val="32"/>
          <w:szCs w:val="32"/>
          <w:lang w:val="en-US" w:eastAsia="zh-CN" w:bidi="ar-SA"/>
        </w:rPr>
        <w:t>铜铬电接触材料（氧含量≤300ppm，氮含量≤5ppm）、高强高导铜合金（抗拉≥500MPa、导电≥80%IACS）、高导热金属基封装材料（热导≥400W/</w:t>
      </w:r>
      <w:r>
        <w:rPr>
          <w:rFonts w:hint="default" w:ascii="Times New Roman" w:hAnsi="Times New Roman"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m·K</w:t>
      </w:r>
      <w:r>
        <w:rPr>
          <w:rFonts w:hint="default" w:ascii="Times New Roman" w:hAnsi="Times New Roman"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）；申请发明专利3件，形成吨级高品质铜合金铸锭稳定制备能力。</w:t>
      </w:r>
    </w:p>
    <w:p w14:paraId="5E06AD4D">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应在渭南市应用或落地转化，助力渭南</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5CF480F7">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645F2B21">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kern w:val="44"/>
          <w:sz w:val="32"/>
          <w:szCs w:val="32"/>
          <w:lang w:val="en-US" w:eastAsia="zh-CN" w:bidi="ar-SA"/>
          <w14:textFill>
            <w14:solidFill>
              <w14:schemeClr w14:val="tx1"/>
            </w14:solidFill>
          </w14:textFill>
        </w:rPr>
        <w:t>6</w:t>
      </w:r>
      <w:r>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t>.煤基能源清洁高效利用关键技术研究</w:t>
      </w:r>
    </w:p>
    <w:p w14:paraId="06336592">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6.1 煤层气成藏规律及主控因素研究</w:t>
      </w:r>
    </w:p>
    <w:p w14:paraId="3E84ACBD">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依托核磁共振检测技术，建立深部煤层甲烷多元赋存状态的精准判识方法，消除高温高压环境及煤岩矿物的干扰，实现对吸附态、游离态等赋存特征的精细识别，支撑含气性定量评价；引入高温高压吸附解吸与渗流定量测试技术，模拟深部原位地层条件，修正传统模型在深部环境下的适配性不足，明确深部煤层气吸附解吸规律及渗流传质机制；采用多尺度全孔径孔裂隙表征技术，系统刻画煤储层孔裂隙空间发育特征，揭示储集与渗流能力的控制机制；结合构造演化、储层物性及流体运移特征，构建研究区深部煤层气成藏模式，建立有利富集区综合评价方法，为研究区煤层气勘探开发及成藏规律研究提供关键技术支撑。</w:t>
      </w:r>
    </w:p>
    <w:p w14:paraId="3EE03C60">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考核指标：</w:t>
      </w:r>
      <w:r>
        <w:rPr>
          <w:rFonts w:hint="default" w:ascii="Times New Roman" w:hAnsi="Times New Roman" w:eastAsia="仿宋_GB2312" w:cs="Times New Roman"/>
          <w:color w:val="000000"/>
          <w:kern w:val="0"/>
          <w:sz w:val="32"/>
          <w:szCs w:val="32"/>
          <w:lang w:bidi="ar"/>
        </w:rPr>
        <w:t>构建研究区深部煤储层精细三维地质模型，编制储层含气量、含气饱和度等平面、剖面成果图件，建立深部煤储层多尺度孔裂隙发育特征图版；搭建高温高压条件下煤岩甲烷吸附解吸与渗流模型，</w:t>
      </w:r>
      <w:r>
        <w:rPr>
          <w:rFonts w:hint="default" w:ascii="Times New Roman" w:hAnsi="Times New Roman" w:eastAsia="仿宋_GB2312" w:cs="Times New Roman"/>
          <w:color w:val="000000"/>
          <w:kern w:val="0"/>
          <w:sz w:val="32"/>
          <w:szCs w:val="32"/>
          <w:lang w:val="en-US" w:eastAsia="zh-CN" w:bidi="ar"/>
        </w:rPr>
        <w:t>阐明</w:t>
      </w:r>
      <w:r>
        <w:rPr>
          <w:rFonts w:hint="default" w:ascii="Times New Roman" w:hAnsi="Times New Roman" w:eastAsia="仿宋_GB2312" w:cs="Times New Roman"/>
          <w:color w:val="000000"/>
          <w:kern w:val="0"/>
          <w:sz w:val="32"/>
          <w:szCs w:val="32"/>
          <w:lang w:bidi="ar"/>
        </w:rPr>
        <w:t>深部煤层气运移机理；完成煤层气成藏要素及典型成藏模式图，圈定煤层气富集区带；</w:t>
      </w:r>
      <w:r>
        <w:rPr>
          <w:rFonts w:hint="default" w:ascii="Times New Roman" w:hAnsi="Times New Roman" w:eastAsia="仿宋_GB2312" w:cs="Times New Roman"/>
          <w:color w:val="000000"/>
          <w:kern w:val="0"/>
          <w:sz w:val="32"/>
          <w:szCs w:val="32"/>
          <w:lang w:val="en-US" w:eastAsia="zh-CN" w:bidi="ar"/>
        </w:rPr>
        <w:t>申请发明专利2件，</w:t>
      </w:r>
      <w:r>
        <w:rPr>
          <w:rFonts w:hint="default" w:ascii="Times New Roman" w:hAnsi="Times New Roman" w:eastAsia="仿宋_GB2312" w:cs="Times New Roman"/>
          <w:color w:val="000000"/>
          <w:kern w:val="0"/>
          <w:sz w:val="32"/>
          <w:szCs w:val="32"/>
          <w:lang w:bidi="ar"/>
        </w:rPr>
        <w:t>发表</w:t>
      </w:r>
      <w:r>
        <w:rPr>
          <w:rFonts w:hint="default" w:ascii="Times New Roman" w:hAnsi="Times New Roman" w:eastAsia="仿宋_GB2312" w:cs="Times New Roman"/>
          <w:color w:val="000000"/>
          <w:kern w:val="0"/>
          <w:sz w:val="32"/>
          <w:szCs w:val="32"/>
          <w:lang w:val="en-US" w:eastAsia="zh-CN" w:bidi="ar"/>
        </w:rPr>
        <w:t>高质量</w:t>
      </w:r>
      <w:r>
        <w:rPr>
          <w:rFonts w:hint="default" w:ascii="Times New Roman" w:hAnsi="Times New Roman" w:eastAsia="仿宋_GB2312" w:cs="Times New Roman"/>
          <w:color w:val="000000"/>
          <w:kern w:val="0"/>
          <w:sz w:val="32"/>
          <w:szCs w:val="32"/>
          <w:lang w:bidi="ar"/>
        </w:rPr>
        <w:t>论文</w:t>
      </w:r>
      <w:r>
        <w:rPr>
          <w:rFonts w:hint="default" w:ascii="Times New Roman" w:hAnsi="Times New Roman" w:eastAsia="仿宋_GB2312" w:cs="Times New Roman"/>
          <w:color w:val="000000"/>
          <w:kern w:val="0"/>
          <w:sz w:val="32"/>
          <w:szCs w:val="32"/>
          <w:lang w:val="en-US" w:eastAsia="zh-CN" w:bidi="ar"/>
        </w:rPr>
        <w:t>5</w:t>
      </w:r>
      <w:r>
        <w:rPr>
          <w:rFonts w:hint="default" w:ascii="Times New Roman" w:hAnsi="Times New Roman" w:eastAsia="仿宋_GB2312" w:cs="Times New Roman"/>
          <w:color w:val="000000"/>
          <w:kern w:val="0"/>
          <w:sz w:val="32"/>
          <w:szCs w:val="32"/>
          <w:lang w:bidi="ar"/>
        </w:rPr>
        <w:t>篇</w:t>
      </w:r>
      <w:r>
        <w:rPr>
          <w:rFonts w:hint="default" w:ascii="Times New Roman" w:hAnsi="Times New Roman" w:eastAsia="仿宋_GB2312" w:cs="Times New Roman"/>
          <w:color w:val="000000"/>
          <w:kern w:val="0"/>
          <w:sz w:val="32"/>
          <w:szCs w:val="32"/>
          <w:lang w:val="en-US" w:eastAsia="zh-CN" w:bidi="ar"/>
        </w:rPr>
        <w:t>以上</w:t>
      </w:r>
      <w:r>
        <w:rPr>
          <w:rFonts w:hint="default" w:ascii="Times New Roman" w:hAnsi="Times New Roman" w:eastAsia="仿宋_GB2312" w:cs="Times New Roman"/>
          <w:color w:val="000000"/>
          <w:kern w:val="0"/>
          <w:sz w:val="32"/>
          <w:szCs w:val="32"/>
          <w:lang w:bidi="ar"/>
        </w:rPr>
        <w:t>。</w:t>
      </w:r>
    </w:p>
    <w:p w14:paraId="324CC9D5">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6.2 极薄煤层开采地质生态监测评价技术</w:t>
      </w:r>
    </w:p>
    <w:p w14:paraId="2973ECEC">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kern w:val="0"/>
          <w:sz w:val="32"/>
          <w:szCs w:val="32"/>
          <w:lang w:bidi="ar"/>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000000"/>
          <w:kern w:val="0"/>
          <w:sz w:val="32"/>
          <w:szCs w:val="32"/>
          <w:lang w:bidi="ar"/>
        </w:rPr>
        <w:t>构建极薄煤层开采“天-空-地-井”协同化智能监测体系，实现极薄煤层开采全过程微弱形变的高精度监测；揭示极薄煤层开采覆岩运动规律及地质灾害形成机理，建立极薄煤层开采全过程地表裂缝智能识别与动态跟踪预警体系；建立极薄煤层开采与生态环境损伤动态演化关联模型，构建植被退化识别、自然恢复趋势预测和累积生态损伤评估模型；研发极薄煤层开采全过程多源监测数据智能融合与协同分析平台。</w:t>
      </w:r>
    </w:p>
    <w:p w14:paraId="184A5FCE">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构建极薄煤层开采地质与生态环境智能监测、地裂缝动态跟踪预警、植被退化识别技术体系，形成1套极薄煤层开采全过程“天-空-地-井”多源监测数据智能融合与协同分析平台；完成黄土沟壑区极薄煤层开采典型矿区地质与生态环境监测评价应用示范1处，制定标准1项；申请发明专利3件，发表高质量论文5-8篇。</w:t>
      </w:r>
    </w:p>
    <w:p w14:paraId="6F9CDD4C">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6.3 煤热解结焦防控与高品质气化半焦制备</w:t>
      </w:r>
    </w:p>
    <w:p w14:paraId="361CE699">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000000"/>
          <w:kern w:val="0"/>
          <w:sz w:val="32"/>
          <w:szCs w:val="32"/>
          <w:lang w:bidi="ar"/>
        </w:rPr>
        <w:t>探明煤中碱金属、碱土金属等矿物质催化结焦与致堵蚀机理，揭示其在高温高载尘、高反应速率工况下对焦油聚合炭化、低温熔融积垢及氯腐蚀、碱性高温腐蚀的影响规律，建立矿物质诱导演化调控与堵蚀抑制技术；针对现有半焦存在反应活性失衡、孔隙结构发育不良、灰熔点偏低、机械强度不足及粒度分布杂乱等缺陷，开展半焦孔隙结构与理化性能的定向优化研究，提升其与气化系统的适配性，解决半焦气化碳转化率低、工况波动大的问题。</w:t>
      </w:r>
    </w:p>
    <w:p w14:paraId="467FA0D6">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sz w:val="32"/>
          <w:szCs w:val="32"/>
          <w:lang w:val="en-US" w:eastAsia="zh-CN"/>
        </w:rPr>
        <w:t>形成矿物质催化结焦腐蚀调控成套技术；制备气化适配型高品质半焦，哈氏可磨性指数≥65%，气化碳转化率稳定在95%以上；申请发明专利2-3件，发表高水平论文5篇以上。</w:t>
      </w:r>
    </w:p>
    <w:p w14:paraId="44B053D1">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6.4 陕北矿区高矿化度废水碳酸化低碳除硬技术</w:t>
      </w:r>
    </w:p>
    <w:p w14:paraId="64EC47C4">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针对传统双碱法沉淀工艺反应速率慢、水力停留时间长、药剂投加量大、污泥产量高及运行成本高等问题，研发基于CO</w:t>
      </w:r>
      <w:r>
        <w:rPr>
          <w:rFonts w:hint="default" w:ascii="Times New Roman" w:hAnsi="Times New Roman" w:cs="Times New Roman"/>
          <w:b w:val="0"/>
          <w:color w:val="000000" w:themeColor="text1"/>
          <w:kern w:val="2"/>
          <w:sz w:val="32"/>
          <w:szCs w:val="32"/>
          <w:vertAlign w:val="subscript"/>
          <w:lang w:val="en-US" w:eastAsia="zh-CN" w:bidi="ar-SA"/>
          <w14:textFill>
            <w14:solidFill>
              <w14:schemeClr w14:val="tx1"/>
            </w14:solidFill>
          </w14:textFill>
        </w:rPr>
        <w:t>2</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碳酸化除硬的绿色低碳新工艺，替代现有高能耗、高药耗处理模式；突破CO</w:t>
      </w:r>
      <w:r>
        <w:rPr>
          <w:rFonts w:hint="default" w:ascii="Times New Roman" w:hAnsi="Times New Roman" w:cs="Times New Roman"/>
          <w:b w:val="0"/>
          <w:color w:val="000000" w:themeColor="text1"/>
          <w:kern w:val="2"/>
          <w:sz w:val="32"/>
          <w:szCs w:val="32"/>
          <w:vertAlign w:val="subscript"/>
          <w:lang w:val="en-US" w:eastAsia="zh-CN" w:bidi="ar-SA"/>
          <w14:textFill>
            <w14:solidFill>
              <w14:schemeClr w14:val="tx1"/>
            </w14:solidFill>
          </w14:textFill>
        </w:rPr>
        <w:t>2</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除硬过程中钙镁离子气液传质反应效率低、常规曝气接触不充分、反应耗时长的技术瓶颈，开展微纳气泡强化技术研究，提升气液传质效率与反应速率；针对现有工艺中反应、沉降、固液分离耦合性差，晶核生长与硬化沉淀难以精准调控的问题，开发高梯度旋流固液分离等过程强化技术，实现反应</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沉降</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分离一体化精准调控。</w:t>
      </w:r>
    </w:p>
    <w:p w14:paraId="7FA2C960">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lang w:val="en-US" w:eastAsia="zh-CN"/>
          <w14:textFill>
            <w14:solidFill>
              <w14:schemeClr w14:val="tx1"/>
            </w14:solidFill>
          </w14:textFill>
        </w:rPr>
        <w:t>考核指标：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开发一套高效碳酸化除硬集成工艺及试验装置；在进水硬度500-2000mg/L（以CaCO</w:t>
      </w:r>
      <w:r>
        <w:rPr>
          <w:rFonts w:hint="default" w:ascii="Times New Roman" w:hAnsi="Times New Roman" w:eastAsia="仿宋_GB2312" w:cs="Times New Roman"/>
          <w:color w:val="000000" w:themeColor="text1"/>
          <w:sz w:val="32"/>
          <w:szCs w:val="32"/>
          <w:vertAlign w:val="subscript"/>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计）条件下，CO</w:t>
      </w:r>
      <w:r>
        <w:rPr>
          <w:rFonts w:hint="default" w:ascii="Times New Roman" w:hAnsi="Times New Roman" w:eastAsia="仿宋_GB2312" w:cs="Times New Roman"/>
          <w:color w:val="000000" w:themeColor="text1"/>
          <w:sz w:val="32"/>
          <w:szCs w:val="32"/>
          <w:vertAlign w:val="subscript"/>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利用率＞75%，出水硬度稳定降至≤50mg/L，硬度去除率≥90%；相比传统工艺，反应停留时间缩短≥50%，吨水药剂成本降低≥30%，污泥产量减少≥40%；申请发明专利2-3件，发表高质量论文5篇以上，培养矿区废水处理领域技术人才1-2名。</w:t>
      </w:r>
    </w:p>
    <w:p w14:paraId="38F0C06F">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6.5 低渗煤层瓦斯注氮增流促抽治理</w:t>
      </w:r>
    </w:p>
    <w:p w14:paraId="5B940DB8">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针对不同区域煤层物性差异显著的问题，建立涵盖孔隙率、吸附常数、变质程度等多维度注氮适用性评价标准，解决选址盲目与参数“一刀切”问题；针对深部长钻孔注氮压力衰减严重及气窜难题，研发分段压力补偿与动态封孔、分区隔离等气窜防控技术，保障驱替稳定性；构建注氮参数与抽采负压动态联动模型，开发效果实时评价与异常反馈模块，形成“注氮-抽采”智能化调控系统，提升深部煤层瓦斯治理的智能化和工程适应性。</w:t>
      </w:r>
    </w:p>
    <w:p w14:paraId="700F02F9">
      <w:pPr>
        <w:pStyle w:val="10"/>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考核指标：</w:t>
      </w:r>
      <w:r>
        <w:rPr>
          <w:rFonts w:hint="default" w:ascii="Times New Roman" w:hAnsi="Times New Roman" w:eastAsia="仿宋_GB2312" w:cs="Times New Roman"/>
          <w:color w:val="auto"/>
          <w:sz w:val="32"/>
          <w:szCs w:val="32"/>
          <w:lang w:val="en-US" w:eastAsia="zh-CN"/>
        </w:rPr>
        <w:t>形成注氮增流促抽适用性多维度评价标准1套；现场试验钻孔不少于20组；现场工业性试验验证，注氮后瓦斯抽采钻孔单孔纯量提高10%~15%；减少钻孔工程量10%以上，降低施工及封孔成本；发表高质量论文5篇以上，申请发明专利2~3件，培养工程技术人员10名以上。</w:t>
      </w:r>
    </w:p>
    <w:p w14:paraId="67928C88">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应在延安市应用或落地转化，助力延安</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263567F1">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002837EE">
      <w:pPr>
        <w:keepNext w:val="0"/>
        <w:keepLines w:val="0"/>
        <w:pageBreakBefore w:val="0"/>
        <w:widowControl w:val="0"/>
        <w:suppressAutoHyphens/>
        <w:kinsoku/>
        <w:wordWrap/>
        <w:overflowPunct/>
        <w:topLinePunct w:val="0"/>
        <w:autoSpaceDE/>
        <w:autoSpaceDN/>
        <w:bidi w:val="0"/>
        <w:adjustRightInd/>
        <w:snapToGrid/>
        <w:spacing w:line="520" w:lineRule="exact"/>
        <w:ind w:firstLine="640" w:firstLineChars="200"/>
        <w:jc w:val="both"/>
        <w:textAlignment w:val="auto"/>
        <w:outlineLvl w:val="0"/>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t>7.高值精细化工新材料绿色合成关键技术研究</w:t>
      </w:r>
    </w:p>
    <w:p w14:paraId="126BF36F">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7.1 烯烃环氧化下游功能性精细化学品开发</w:t>
      </w:r>
    </w:p>
    <w:p w14:paraId="14938861">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立足西部丰富烯烃资源，围绕“资源适配、工艺适配、产品高端化、补链强链”主线，开展烯烃环氧化下游功能性精细化学品开发研究。依托原料资源优势，优化高效催化体系与绿色分离工艺，解决传统工艺对窄组分原料依赖强、能耗及排放高等问题，实现原料就地高值转化。重点开发环氧丙烷、环氧乙烷等下游高端产品，涵盖10万吨/年涂料、4万吨/年功能性外加粉剂（减水剂等）、EC、PPC、SAP等新型绿色精细化学品，完善从原料到终端产品的产业链，支撑西部化工强链补链延链与绿色转型发展。</w:t>
      </w:r>
    </w:p>
    <w:p w14:paraId="2AA4FC5E">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20万吨/年环氧乙烷装置、20万吨/年聚醚减水剂大单体、10万吨/年环氧丙烷装置、26万吨/年双氧水装置、8万吨/年丙烯酸装置、12万吨/年丙烯酸丁酯装置、40万吨/年丙烯酸酯乳液装置等工业装置顺利投产；基于上述装置开发工艺包各1套；针对不同的应用场景开发减水剂配方、丙烯酸酯乳液配方、水性涂料配方不少于3项；开发出高转化率、高选择</w:t>
      </w:r>
      <w:r>
        <w:rPr>
          <w:rFonts w:hint="default" w:ascii="Times New Roman" w:hAnsi="Times New Roman" w:cs="Times New Roman"/>
          <w:b w:val="0"/>
          <w:color w:val="auto"/>
          <w:kern w:val="2"/>
          <w:sz w:val="32"/>
          <w:szCs w:val="32"/>
          <w:lang w:val="en-US" w:eastAsia="zh-CN" w:bidi="ar-SA"/>
        </w:rPr>
        <w:t>性</w:t>
      </w:r>
      <w:r>
        <w:rPr>
          <w:rFonts w:hint="default" w:ascii="Times New Roman" w:hAnsi="Times New Roman" w:eastAsia="仿宋_GB2312" w:cs="Times New Roman"/>
          <w:b w:val="0"/>
          <w:color w:val="auto"/>
          <w:kern w:val="2"/>
          <w:sz w:val="32"/>
          <w:szCs w:val="32"/>
          <w:lang w:val="en-US" w:eastAsia="zh-CN" w:bidi="ar-SA"/>
        </w:rPr>
        <w:t>、成本低的环氧化反应催化剂；申请发明专利4件，发表高质量论文5篇。</w:t>
      </w:r>
    </w:p>
    <w:p w14:paraId="7D876744">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7.2 高性能聚羧酸减水剂的开发及应用</w:t>
      </w:r>
    </w:p>
    <w:p w14:paraId="2E6D1313">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研究大容积反应釜内温度场与浓度场均匀性调控技术，解决局部偏差导致的聚合物分子量分布不均问题，保障大规模单釜生产的产物一致性与分散性能；开发多品类柔性生产快速切换工艺，攻克管线清洗、参数自动适配与交叉污染控制难题，实现同一装置兼容多牌号产品的稳定生产；构建全流程自动化精准控制模型，针对大釜体系建立投料、控温、反应终点判断的自适应逻辑，消除人工干预带来的批次波动。面向雅江流域极端地质与高铁长大隧道特殊工况，定向研发高抗渗、抗冻、长距离泵送适配的功能型减水剂，填补特殊工程定制化产品空白，实现西部高端减水剂规模化与智能化制造。</w:t>
      </w:r>
    </w:p>
    <w:p w14:paraId="70103118">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建成40万吨/年的聚羧酸减水剂产品生产线1条；开发产品生产工艺包1套；针对不同的应用场景开发新型减水剂配方不少于3项；发表高质量论文2篇，申请发明专利3件。</w:t>
      </w:r>
    </w:p>
    <w:p w14:paraId="13E56845">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7.3 功能型丙烯酸酯乳液及水性涂料的合成及应用研究</w:t>
      </w:r>
    </w:p>
    <w:p w14:paraId="12E27142">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围绕丙烯酸酯乳液生产装置及涂料项目，开展全流程优化设计。重点攻克环保指标与核心性能的平衡难题，开发低VOC净味配方，优化乳化剂体系与功能单体改性，保障成膜性、粘结强度与耐水性；解决聚合过程稳定性控制难点，建立核壳结构等高精度工艺参数耦合模型，避免凝胶、爆聚及僵釜；突破耐候性与保色性提升瓶颈，通过分子结构设计兼顾抗紫外氧化与成膜柔韧性；完善量产工艺匹配，实现实验室配方到工业化生产的稳定放大，优化真空脱挥工艺，确保固含量与粘度稳定。最终形成覆盖建筑涂料、胶粘剂等领域的环保型丙烯酸酯乳液成套技术。</w:t>
      </w:r>
    </w:p>
    <w:p w14:paraId="1012AE88">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highlight w:val="none"/>
          <w:lang w:val="en-US" w:eastAsia="zh-CN" w:bidi="ar-SA"/>
        </w:rPr>
        <w:t>考核指标：</w:t>
      </w:r>
      <w:r>
        <w:rPr>
          <w:rFonts w:hint="default" w:ascii="Times New Roman" w:hAnsi="Times New Roman" w:cs="Times New Roman"/>
          <w:b w:val="0"/>
          <w:color w:val="auto"/>
          <w:kern w:val="2"/>
          <w:sz w:val="32"/>
          <w:szCs w:val="32"/>
          <w:highlight w:val="none"/>
          <w:lang w:val="en-US" w:eastAsia="zh-CN" w:bidi="ar-SA"/>
        </w:rPr>
        <w:t>建成40万吨/年丙烯酸酯乳液生产线，开发产品生产工艺包1套；研发能够满足市场需求的建筑内外墙涂料乳液、防水乳液、工业涂料乳液配方不少于3项；发表高质量论文2篇，申请发明专利3件。</w:t>
      </w:r>
    </w:p>
    <w:p w14:paraId="1D2D3A81">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7.4 新型聚烯烃用高透助剂绿色合成及产业化</w:t>
      </w:r>
    </w:p>
    <w:p w14:paraId="69AE274C">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从分子结构剪裁出发，设计开发对聚乙烯具有高效异相成核诱导能力的新型高透助剂，同步探索基于生物基或无毒原料的绿色合成路线，从源头保障食品接触材料的安全性。在此基础上，突破“提高透明度必牺牲刚性或韧性”的传统认知局限，构建“透明、增强、增韧”多功能协同助剂复配体系，利用助剂间原位超支化反应与刚性粒子诱导界面结晶等多重策略，实现雾度大幅降低、热变形温度显著提升与力学性能协同增强，系统解决透明聚烯烃材料的“刚韧平衡”难题。面向食品生鲜包装、医疗耗材、精密光学等差异化应用场景，开展专用助剂方案的精准化设计，形成从分子设计、复配优化到场景验证的全链条创新路径。</w:t>
      </w:r>
    </w:p>
    <w:p w14:paraId="65238A7E">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PE雾度由现状＞30%降至≤12%；透光率≥90%；开发2-3种新型高效成核剂，在煤基PE中实现球晶尺寸亚微米级可控；制品热变形温度≥95℃、抗冲击强度≥5kJ/m</w:t>
      </w:r>
      <w:r>
        <w:rPr>
          <w:rFonts w:hint="default" w:ascii="Times New Roman" w:hAnsi="Times New Roman" w:eastAsia="仿宋_GB2312" w:cs="Times New Roman"/>
          <w:b w:val="0"/>
          <w:color w:val="auto"/>
          <w:kern w:val="2"/>
          <w:sz w:val="32"/>
          <w:szCs w:val="32"/>
          <w:vertAlign w:val="superscript"/>
          <w:lang w:val="en-US" w:eastAsia="zh-CN" w:bidi="ar-SA"/>
        </w:rPr>
        <w:t>2</w:t>
      </w:r>
      <w:r>
        <w:rPr>
          <w:rFonts w:hint="default" w:ascii="Times New Roman" w:hAnsi="Times New Roman" w:eastAsia="仿宋_GB2312" w:cs="Times New Roman"/>
          <w:b w:val="0"/>
          <w:color w:val="auto"/>
          <w:kern w:val="2"/>
          <w:sz w:val="32"/>
          <w:szCs w:val="32"/>
          <w:lang w:val="en-US" w:eastAsia="zh-CN" w:bidi="ar-SA"/>
        </w:rPr>
        <w:t>；产品通过食品接触材料认证，应用于生鲜包装及医用膜材领域；项目期内发表高质量论文2篇，申请发明专利3件，新增产值3000万元以上，培养研究生5-8名。</w:t>
      </w:r>
    </w:p>
    <w:p w14:paraId="7B2A853A">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7.5 MTO副产C5烯烃选择性催化氧化制高值含氧化学品关键技术研究</w:t>
      </w:r>
    </w:p>
    <w:p w14:paraId="539014C6">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针对MTO副产C5烯烃高值化利用需求，开展选择性催化氧化制高值含氧化学品的关键技术与工艺研究。重点攻克公斤级钛硅催化剂设计与合成难题，实现混合顺/反-2-戊烯在特定反应体系中高选择性转化为酮类含氧化学品；系统研究中试升级过程中反应釜温度场、流场分布、反应压力、氧烯比、催化剂用量、溶剂及助剂等关键参数对转化率与产物分布的影响，确定最优工艺条件；开发抑制醚化、酯化及结焦等副反应的工程化策略，提升技术路线的经济性与绿色性。</w:t>
      </w:r>
    </w:p>
    <w:p w14:paraId="4AB45744">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开发MTO副产C5选择性催化氧化制高值含氧化学品的高活性催化剂及成套技术工艺，实现工业级C5副产品中混合顺/反-2-戊烯总转化率＞70%，且对指定酮类含氧化学品的选择性&gt;80%，编制产业化工艺包1套；搭建中试生产装置并得到百公斤级合格产品，发表高质量论文2篇，申请发明专利3件。</w:t>
      </w:r>
    </w:p>
    <w:p w14:paraId="7DC8C461">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7.6 硝基化合物连续加氢合成有机胺类精细化学品研究</w:t>
      </w:r>
    </w:p>
    <w:p w14:paraId="21147085">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针对精细化学品连续加氢领域共性技术难题，以对硝基苯乙腈加氢制对氨基苯乙腈和2-硝基-1,3丙二醇加氢制2-氨基-1,3丙二醇为典型反应，开展催化剂创制、连续流工艺优化及产物分离技术研究。重点创制新一代负载型催化剂，调控活性金属与载体分布，提升活性与选择性，避免其他活性基团副反应；优化连续流加氢工艺，强化反应器换热能力以应对强放热反应，优选溶剂、温度、压力等参数，实现高原料浓度与高物料通量下的高选择性转化；开发高效产物分离方法，实现目标产物、副产物与溶剂的有效分离，提升产品收率</w:t>
      </w:r>
      <w:r>
        <w:rPr>
          <w:rFonts w:hint="eastAsia" w:cs="Times New Roman"/>
          <w:b w:val="0"/>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形成可推广的精细化学品连续加氢成套技术，为高选择性硝基加氢工业应用提供技术支撑。</w:t>
      </w:r>
    </w:p>
    <w:p w14:paraId="1F3CD83D">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完成对硝基苯乙腈加氢制对氨基苯乙腈的连续流中试，在产能≥10吨/年的连续流反应器中，实现加氢转化率≥99.5%，选择性≥95%；开发产品分离工艺，得到百公斤级合格产品，纯度≥99.5%，水分含量≤0.5%；完成2-硝基-1,3丙二醇加氢制2-氨基-1,3丙二醇的小试试验，开发高活性、高选择性加氢催化剂，在小试装置中实现加氢转化率≥99%，选择性≥95%；开发小试产品分离工艺，得到合格2-氨基-1,3丙二醇产品，纯度≥99.5%；发表高质量论文2篇，申请发明专利3件。</w:t>
      </w:r>
    </w:p>
    <w:p w14:paraId="79AA47E1">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7.7 合成气直接制长链α-烯烃关键技术研究</w:t>
      </w:r>
    </w:p>
    <w:p w14:paraId="4CAB1250">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color w:val="auto"/>
          <w:kern w:val="2"/>
          <w:sz w:val="32"/>
          <w:szCs w:val="32"/>
          <w:lang w:bidi="ar-SA"/>
        </w:rPr>
        <w:t>开发新型定向催化体系，精准调控活性位点与孔道结构，有效抑制烯烃二次加氢，大幅提升长链C4+α-烯烃选择性，并抑制C1副产物生成；揭示助剂、载体与活性中心之间的协同作用对催化剂性能的影响规律，明晰构效关系；创新催化剂配方和制备方法，明确催化剂放大制备规律，实现放大催化剂性能与装置性能的高效匹配。</w:t>
      </w:r>
    </w:p>
    <w:p w14:paraId="2AFF22DA">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完成催化剂公斤级放大制备，并在固定床装置上完成72小时性能考核，CO总转化率＞90%，CH</w:t>
      </w:r>
      <w:r>
        <w:rPr>
          <w:rFonts w:hint="default" w:ascii="Times New Roman" w:hAnsi="Times New Roman" w:eastAsia="仿宋_GB2312" w:cs="Times New Roman"/>
          <w:b w:val="0"/>
          <w:color w:val="auto"/>
          <w:kern w:val="2"/>
          <w:sz w:val="32"/>
          <w:szCs w:val="32"/>
          <w:vertAlign w:val="subscript"/>
          <w:lang w:val="en-US" w:eastAsia="zh-CN" w:bidi="ar-SA"/>
        </w:rPr>
        <w:t>4</w:t>
      </w:r>
      <w:r>
        <w:rPr>
          <w:rFonts w:hint="default" w:ascii="Times New Roman" w:hAnsi="Times New Roman" w:eastAsia="仿宋_GB2312" w:cs="Times New Roman"/>
          <w:b w:val="0"/>
          <w:color w:val="auto"/>
          <w:kern w:val="2"/>
          <w:sz w:val="32"/>
          <w:szCs w:val="32"/>
          <w:lang w:val="en-US" w:eastAsia="zh-CN" w:bidi="ar-SA"/>
        </w:rPr>
        <w:t>选择性＜5%，CO</w:t>
      </w:r>
      <w:r>
        <w:rPr>
          <w:rFonts w:hint="default" w:ascii="Times New Roman" w:hAnsi="Times New Roman" w:eastAsia="仿宋_GB2312" w:cs="Times New Roman"/>
          <w:b w:val="0"/>
          <w:color w:val="auto"/>
          <w:kern w:val="2"/>
          <w:sz w:val="32"/>
          <w:szCs w:val="32"/>
          <w:vertAlign w:val="subscript"/>
          <w:lang w:val="en-US" w:eastAsia="zh-CN" w:bidi="ar-SA"/>
        </w:rPr>
        <w:t>2</w:t>
      </w:r>
      <w:r>
        <w:rPr>
          <w:rFonts w:hint="default" w:ascii="Times New Roman" w:hAnsi="Times New Roman" w:eastAsia="仿宋_GB2312" w:cs="Times New Roman"/>
          <w:b w:val="0"/>
          <w:color w:val="auto"/>
          <w:kern w:val="2"/>
          <w:sz w:val="32"/>
          <w:szCs w:val="32"/>
          <w:lang w:val="en-US" w:eastAsia="zh-CN" w:bidi="ar-SA"/>
        </w:rPr>
        <w:t>选择性＜5%，总烯烃选择性＞75wt%，C4+α-烯烃选择性＞60%，稳定运行≥1000h；发表高质量论文2篇，申请发明专利3件。</w:t>
      </w:r>
    </w:p>
    <w:p w14:paraId="14F00B58">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7.8 通用型高强高模碳纤维原丝油剂关键技术开发</w:t>
      </w:r>
    </w:p>
    <w:p w14:paraId="7843C94C">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面向高性能碳纤维原丝油剂需求，开发一种耐高温、多工艺适配、高稳定且多功能协同的新型油剂产品。研究基于有机硅-聚酯杂化分子结构，通过含羟基改性硅油与含羧基有机酯的脱水缩合反应。采用烷基聚氧乙烯醚类非离子乳化剂复配及转相乳化法，构建高稳定乳液体系，克服硅油亲水性差导致的凝胶破乳难题。研究氨基、环氧基等多官能团侧链改性，实现润滑、成膜、抗静电及界面增强功能协同。</w:t>
      </w:r>
    </w:p>
    <w:p w14:paraId="4B390F56">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外观乳白色；粒径≤300nm，固含量≥45%，260℃恒温1小时条件下有效组分残留量≥55%，稀释稳定性≥15天，pH值7-9，有效期≥365天，粘度（浓度3%，25℃）≤20；产值达7500万元/年以上；实现高强高模碳纤维原丝油剂的国产化替代；发表高质量论文2篇，申请发明专利3件。</w:t>
      </w:r>
    </w:p>
    <w:p w14:paraId="60AB2A54">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7.9 高端通用型碳纤维上浆剂关键技术开发</w:t>
      </w:r>
    </w:p>
    <w:p w14:paraId="54C6F49A">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val="0"/>
          <w:color w:val="auto"/>
          <w:kern w:val="2"/>
          <w:sz w:val="32"/>
          <w:szCs w:val="32"/>
          <w:lang w:val="en-US" w:eastAsia="zh-CN" w:bidi="ar-SA"/>
        </w:rPr>
        <w:t>面向航空航天、风电及新能源汽车领域，开发一款通用型碳纤维上浆剂，解决现有产品牌号多、适配面窄、频繁换浆导致品质波动的问题。设计耐高温、高聚合度聚氨酯及聚醚等主体聚合物，与脂肪族聚氧乙烯醚类润滑剂精准复配，实现集束性与展纱率的平衡，提升复合材料层间剪切强度，开发多领域通用的高性能上浆剂技术。</w:t>
      </w:r>
    </w:p>
    <w:p w14:paraId="5FBA66B3">
      <w:pPr>
        <w:pStyle w:val="10"/>
        <w:keepNext w:val="0"/>
        <w:keepLines w:val="0"/>
        <w:pageBreakBefore w:val="0"/>
        <w:widowControl w:val="0"/>
        <w:kinsoku/>
        <w:wordWrap/>
        <w:overflowPunct/>
        <w:topLinePunct w:val="0"/>
        <w:autoSpaceDE/>
        <w:autoSpaceDN/>
        <w:bidi w:val="0"/>
        <w:adjustRightInd/>
        <w:snapToGrid/>
        <w:spacing w:line="520" w:lineRule="exact"/>
        <w:ind w:firstLine="602"/>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考核指标：</w:t>
      </w:r>
      <w:r>
        <w:rPr>
          <w:rFonts w:hint="default" w:ascii="Times New Roman" w:hAnsi="Times New Roman" w:eastAsia="仿宋_GB2312" w:cs="Times New Roman"/>
          <w:b w:val="0"/>
          <w:color w:val="auto"/>
          <w:kern w:val="2"/>
          <w:sz w:val="32"/>
          <w:szCs w:val="32"/>
          <w:lang w:val="en-US" w:eastAsia="zh-CN" w:bidi="ar-SA"/>
        </w:rPr>
        <w:t>上浆剂外观乳白色或半透明，无沉淀、无漂浮物；粒径≤300nm，固含量≥25%，含固部分起始热分解温度≥280℃，pH值6-10，有效期≥150天；碳纤维毛丝量≤4mg/50m，碳纤维展纱率≥40%；复合材料性能指标：航空航天领域拉伸强度≥2800MPa，层剪强度≥85MPa，风电领域拉伸强度≥1600MPa，层剪强度≥50MPa，新能源汽车领域拉伸强度≥2300MPa，层剪强度≥85MPa；产值达1800万元/年以上；实现高端通用型上浆剂的国产化替代；发表高质量论文2篇，申请发明专利3件。</w:t>
      </w:r>
    </w:p>
    <w:p w14:paraId="0F4AF8DC">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应在榆林市应用或落地转化，助力榆林</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1D8F61C0">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0809E9B1">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t>8.智能制造产业关键技术研究及应用</w:t>
      </w:r>
    </w:p>
    <w:p w14:paraId="4D634E46">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8.1 面向医疗器械旋转刃具的高速直驱高精五轴联动数控工具磨床研发及产业化</w:t>
      </w:r>
    </w:p>
    <w:p w14:paraId="7F1F5CC6">
      <w:pPr>
        <w:keepNext w:val="0"/>
        <w:keepLines w:val="0"/>
        <w:pageBreakBefore w:val="0"/>
        <w:widowControl w:val="0"/>
        <w:kinsoku/>
        <w:wordWrap/>
        <w:overflowPunct/>
        <w:topLinePunct w:val="0"/>
        <w:autoSpaceDE/>
        <w:autoSpaceDN/>
        <w:bidi w:val="0"/>
        <w:adjustRightInd/>
        <w:snapToGrid/>
        <w:spacing w:line="520" w:lineRule="exact"/>
        <w:ind w:firstLine="881"/>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五轴联动数控工具磨床整机结构拓扑优化、关键部件刚度匹配与动静态特性研究；大推力、高刚度Z轴直线电机直驱结构方案设计、断电自锁机构机械电气协同设计及伺服驱动控制策略优化研究；面向微小径复杂刃具的智能磨削轨迹规划算法开发、砂轮姿态自适应调整及超精密磨削工艺参数多目标优化研究；高精度非接触式在线实时闭环检测系统开发及加工误差补偿技术研究；工件自动上下料系统设计及无人化智能生产技术研究。</w:t>
      </w:r>
    </w:p>
    <w:p w14:paraId="2A9DB26C">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研制高速直驱五轴联动数控工具磨床，设备定位精度≤±0.003mm，重复定位精度≤±0.002mm，最高主轴转速24000 rpm，主轴回转跳动≤0.003mm；加工后的刃具满足刃径精度≤±0.005mm，刃带跳动≤0.008mm；机床实现24小时无人化连续生产能力；申请发明专利不少于2件；建成无人化智能生产线应用示范基地1个。</w:t>
      </w:r>
    </w:p>
    <w:p w14:paraId="2832271A">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8.2 面向电子机械制动系统的高精度核心部件智能制造关键技术创新与产业化</w:t>
      </w:r>
    </w:p>
    <w:p w14:paraId="505C7003">
      <w:pPr>
        <w:keepNext w:val="0"/>
        <w:keepLines w:val="0"/>
        <w:pageBreakBefore w:val="0"/>
        <w:widowControl w:val="0"/>
        <w:kinsoku/>
        <w:wordWrap/>
        <w:overflowPunct/>
        <w:topLinePunct w:val="0"/>
        <w:autoSpaceDE/>
        <w:autoSpaceDN/>
        <w:bidi w:val="0"/>
        <w:adjustRightInd/>
        <w:snapToGrid/>
        <w:spacing w:line="520" w:lineRule="exact"/>
        <w:ind w:firstLine="881"/>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研究极寒工况下新型复合摩擦材料部件的摩擦磨损性能及低温制动异响抑制机理；研究EMB核心部件超精密加工材料去除机理、微米级尺寸精度与纳米级表面质量协同调控及高一致性制造工艺；研究多源传感融合的加工状态实时感知与加工误差在线检测技术；研究面向EMB核心部件的柔性化智能制造工艺全过程质量追溯、制造过程数据智能分析及异常诊断技术。</w:t>
      </w:r>
    </w:p>
    <w:p w14:paraId="6B279AB6">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开发适用于-40℃极寒工况的新型复合摩擦材料部件2-3种，参照汽车行业标准IATF16949，低温制动噪声发生率较现有产品降低50%以上；EMB核心部件加工精度≤5μm，表面粗糙度Ra≤0.05μm；建成柔性化智能制造工艺示范产线1条，构建关键工序在线检测与全过程质量追溯体系，实现产业化；申请发明专利不少于2件，培养高层次技术人才1-2名。</w:t>
      </w:r>
    </w:p>
    <w:p w14:paraId="64856F5F">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8.3 面向微小电子元器件的全表面缺陷高速智能检测装备研发及智能化应用</w:t>
      </w:r>
    </w:p>
    <w:p w14:paraId="4CD2FEFF">
      <w:pPr>
        <w:keepNext w:val="0"/>
        <w:keepLines w:val="0"/>
        <w:pageBreakBefore w:val="0"/>
        <w:widowControl w:val="0"/>
        <w:kinsoku/>
        <w:wordWrap/>
        <w:overflowPunct/>
        <w:topLinePunct w:val="0"/>
        <w:autoSpaceDE/>
        <w:autoSpaceDN/>
        <w:bidi w:val="0"/>
        <w:adjustRightInd/>
        <w:snapToGrid/>
        <w:spacing w:line="520" w:lineRule="exact"/>
        <w:ind w:firstLine="881"/>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多角度多光谱高动态成像机理与光学系统研究；基于小样本机器学习的缺陷检测网络研究；多相机异步触发与实时并行推理的异构计算架构研究；面向快速换型的模型自适应迁移技术研究；高速自动上下料机构及节拍协同控制研究；缺陷数据闭环分析与产线智能化应用系统研究。</w:t>
      </w:r>
    </w:p>
    <w:p w14:paraId="0CE4080A">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研制集成自动上下料的全表面高速智能检测装备样机1套</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检测效率≥180颗/分钟，漏检率（良品中不良品）≤0.1%</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可稳定检测出典型缺陷深度≥10μm，最小检出直径处于国际先进水平</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装备核心算法与光学成像模组国产化率≥80%，单台成本较进口同类降低50%以上</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申请发明专利不少于2件，软件著作权2-3件</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建成智能检测应用示范线1条，突破现有设备检测瓶颈。</w:t>
      </w:r>
    </w:p>
    <w:p w14:paraId="123998F8">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8.4 面向重载重切的高端大型数控镗铣加工中心研发及应用</w:t>
      </w:r>
    </w:p>
    <w:p w14:paraId="2B1E8113">
      <w:pPr>
        <w:keepNext w:val="0"/>
        <w:keepLines w:val="0"/>
        <w:pageBreakBefore w:val="0"/>
        <w:widowControl w:val="0"/>
        <w:kinsoku/>
        <w:wordWrap/>
        <w:overflowPunct/>
        <w:topLinePunct w:val="0"/>
        <w:autoSpaceDE/>
        <w:autoSpaceDN/>
        <w:bidi w:val="0"/>
        <w:adjustRightInd/>
        <w:snapToGrid/>
        <w:spacing w:line="520" w:lineRule="exact"/>
        <w:ind w:firstLine="881"/>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研究重载精密伺服转台的高刚性结构拓扑优化技术、重载传动消隙方法及精密角位置伺服控制策略；开展高刚性大扭矩镗杆的正向设计及抗振性能研究，探索镗杆结构参数与动态特性之间的内在关联；研究基于温升规律的主轴热误差补偿技术，开发集成高效热误差补偿算法的数控系统，建立温度场实时测控与补偿执行的闭环机制；研究深孔镗铣加工中的工艺系统刚度衰减问题、变形抑制方法及切削工艺参数优化策略。</w:t>
      </w:r>
    </w:p>
    <w:p w14:paraId="6DDDA0B8">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b w:val="0"/>
          <w:color w:val="000000" w:themeColor="text1"/>
          <w:kern w:val="2"/>
          <w:sz w:val="32"/>
          <w:szCs w:val="32"/>
          <w:lang w:val="en-US" w:eastAsia="zh-CN" w:bidi="ar-SA"/>
          <w14:textFill>
            <w14:solidFill>
              <w14:schemeClr w14:val="tx1"/>
            </w14:solidFill>
          </w14:textFill>
        </w:rPr>
        <w:t>研制大型数控镗铣加工中心，行程范围3500×2000×900mm、最大钻孔直径φ50mm、最大镗孔直径φ300mm、最大加工直径800mm；研制30吨重载精密转台，角定位精度≤10″；开发高精度高刚性镗杆，镗杆端部悬伸800mm时挠度变形≤0.01mm、刚度≥100N/μm；申请发明专利不少于2件；实现大型数控镗铣加工中心的产业化应用。</w:t>
      </w:r>
    </w:p>
    <w:p w14:paraId="4832A428">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应在汉中市应用或落地转化，助力汉中</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3F6F095F">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601197DD">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t>9.智算应用与智能终端关键技术研发与应用推广</w:t>
      </w:r>
    </w:p>
    <w:p w14:paraId="635C15AD">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9.1 面向秦巴山区生态与自然资源智能管控的智算关键技术研发与应用</w:t>
      </w:r>
    </w:p>
    <w:p w14:paraId="2C53970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研究方向：</w:t>
      </w:r>
      <w:r>
        <w:rPr>
          <w:rFonts w:hint="default" w:ascii="Times New Roman" w:hAnsi="Times New Roman" w:eastAsia="仿宋_GB2312" w:cs="Times New Roman"/>
          <w:kern w:val="0"/>
          <w:sz w:val="32"/>
          <w:szCs w:val="36"/>
        </w:rPr>
        <w:t>针对秦巴山区复杂环境下碳汇与资源监管的“感知</w:t>
      </w:r>
      <w:r>
        <w:rPr>
          <w:rFonts w:hint="eastAsia" w:cs="Times New Roman"/>
          <w:kern w:val="0"/>
          <w:sz w:val="32"/>
          <w:szCs w:val="36"/>
          <w:lang w:val="en-US" w:eastAsia="zh-CN"/>
        </w:rPr>
        <w:t>-</w:t>
      </w:r>
      <w:r>
        <w:rPr>
          <w:rFonts w:hint="default" w:ascii="Times New Roman" w:hAnsi="Times New Roman" w:eastAsia="仿宋_GB2312" w:cs="Times New Roman"/>
          <w:kern w:val="0"/>
          <w:sz w:val="32"/>
          <w:szCs w:val="36"/>
        </w:rPr>
        <w:t>计算</w:t>
      </w:r>
      <w:r>
        <w:rPr>
          <w:rFonts w:hint="eastAsia" w:cs="Times New Roman"/>
          <w:kern w:val="0"/>
          <w:sz w:val="32"/>
          <w:szCs w:val="36"/>
          <w:lang w:val="en-US" w:eastAsia="zh-CN"/>
        </w:rPr>
        <w:t>-</w:t>
      </w:r>
      <w:r>
        <w:rPr>
          <w:rFonts w:hint="default" w:ascii="Times New Roman" w:hAnsi="Times New Roman" w:eastAsia="仿宋_GB2312" w:cs="Times New Roman"/>
          <w:kern w:val="0"/>
          <w:sz w:val="32"/>
          <w:szCs w:val="36"/>
        </w:rPr>
        <w:t>应用”全链条智算技术体系缺失问题，构建多源异构数据融合与高精度碳汇模型，解决因通量站点稀疏、外推评价缺失、碳源/汇驱因交织而精度受限</w:t>
      </w:r>
      <w:r>
        <w:rPr>
          <w:rFonts w:hint="default" w:ascii="Times New Roman" w:hAnsi="Times New Roman" w:cs="Times New Roman"/>
          <w:kern w:val="0"/>
          <w:sz w:val="32"/>
          <w:szCs w:val="36"/>
          <w:lang w:eastAsia="zh-CN"/>
        </w:rPr>
        <w:t>的</w:t>
      </w:r>
      <w:r>
        <w:rPr>
          <w:rFonts w:hint="default" w:ascii="Times New Roman" w:hAnsi="Times New Roman" w:eastAsia="仿宋_GB2312" w:cs="Times New Roman"/>
          <w:kern w:val="0"/>
          <w:sz w:val="32"/>
          <w:szCs w:val="36"/>
        </w:rPr>
        <w:t>难题；实现多源遥感谱序特征智能解译与变化检测</w:t>
      </w:r>
      <w:r>
        <w:rPr>
          <w:rFonts w:hint="default" w:ascii="Times New Roman" w:hAnsi="Times New Roman" w:cs="Times New Roman"/>
          <w:kern w:val="0"/>
          <w:sz w:val="32"/>
          <w:szCs w:val="36"/>
          <w:lang w:eastAsia="zh-CN"/>
        </w:rPr>
        <w:t>，</w:t>
      </w:r>
      <w:r>
        <w:rPr>
          <w:rFonts w:hint="default" w:ascii="Times New Roman" w:hAnsi="Times New Roman" w:eastAsia="仿宋_GB2312" w:cs="Times New Roman"/>
          <w:kern w:val="0"/>
          <w:sz w:val="32"/>
          <w:szCs w:val="36"/>
        </w:rPr>
        <w:t>破解受数据异质、变化复杂、样本泛化不足制约，难以支撑业务化监测的难题；解决山地场景算力调度与边缘协同因节点分散、协同薄弱、能耗粗放而效率低下</w:t>
      </w:r>
      <w:r>
        <w:rPr>
          <w:rFonts w:hint="default" w:ascii="Times New Roman" w:hAnsi="Times New Roman" w:cs="Times New Roman"/>
          <w:kern w:val="0"/>
          <w:sz w:val="32"/>
          <w:szCs w:val="36"/>
          <w:lang w:eastAsia="zh-CN"/>
        </w:rPr>
        <w:t>的</w:t>
      </w:r>
      <w:r>
        <w:rPr>
          <w:rFonts w:hint="default" w:ascii="Times New Roman" w:hAnsi="Times New Roman" w:eastAsia="仿宋_GB2312" w:cs="Times New Roman"/>
          <w:kern w:val="0"/>
          <w:sz w:val="32"/>
          <w:szCs w:val="36"/>
        </w:rPr>
        <w:t>难题。</w:t>
      </w:r>
    </w:p>
    <w:p w14:paraId="303D0FE2">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cs="Times New Roman"/>
          <w:color w:val="auto"/>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kern w:val="0"/>
          <w:sz w:val="32"/>
          <w:szCs w:val="36"/>
        </w:rPr>
        <w:t>搭建秦巴山区全域动态算力调度平台1套，算力资源利用率提升</w:t>
      </w:r>
      <w:r>
        <w:rPr>
          <w:rFonts w:hint="default" w:ascii="Times New Roman" w:hAnsi="Times New Roman" w:eastAsia="仿宋_GB2312" w:cs="Times New Roman"/>
          <w:kern w:val="0"/>
          <w:sz w:val="32"/>
          <w:szCs w:val="36"/>
          <w:lang w:val="en-US" w:eastAsia="zh-CN"/>
        </w:rPr>
        <w:t>2</w:t>
      </w:r>
      <w:r>
        <w:rPr>
          <w:rFonts w:hint="default" w:ascii="Times New Roman" w:hAnsi="Times New Roman" w:eastAsia="仿宋_GB2312" w:cs="Times New Roman"/>
          <w:kern w:val="0"/>
          <w:sz w:val="32"/>
          <w:szCs w:val="36"/>
        </w:rPr>
        <w:t>0%以上；构建适配山区的边缘算力协同体系1套，算力节点整体PUE控制在1.3以下；构建近30年1公里分辨率生态系统碳源与碳汇时空格局数据产品1套，形成生态碳汇智能核算方法学1套和示范点1个；研发多源遥感变化检测模型1套，疑似变化图斑识别正确率≥90%；建成行业应用示范≥3项；申请</w:t>
      </w:r>
      <w:r>
        <w:rPr>
          <w:rFonts w:hint="default" w:ascii="Times New Roman" w:hAnsi="Times New Roman" w:eastAsia="仿宋_GB2312" w:cs="Times New Roman"/>
          <w:kern w:val="0"/>
          <w:sz w:val="32"/>
          <w:szCs w:val="36"/>
          <w:lang w:val="en-US" w:eastAsia="zh-CN"/>
        </w:rPr>
        <w:t>发明</w:t>
      </w:r>
      <w:r>
        <w:rPr>
          <w:rFonts w:hint="default" w:ascii="Times New Roman" w:hAnsi="Times New Roman" w:eastAsia="仿宋_GB2312" w:cs="Times New Roman"/>
          <w:kern w:val="0"/>
          <w:sz w:val="32"/>
          <w:szCs w:val="36"/>
        </w:rPr>
        <w:t>专利≥2件；培育技术人才≥30人。</w:t>
      </w:r>
    </w:p>
    <w:p w14:paraId="29DF4A66">
      <w:pPr>
        <w:pStyle w:val="3"/>
        <w:keepNext w:val="0"/>
        <w:keepLines w:val="0"/>
        <w:pageBreakBefore w:val="0"/>
        <w:widowControl w:val="0"/>
        <w:kinsoku/>
        <w:wordWrap/>
        <w:overflowPunct/>
        <w:topLinePunct w:val="0"/>
        <w:autoSpaceDE/>
        <w:autoSpaceDN/>
        <w:bidi w:val="0"/>
        <w:adjustRightInd/>
        <w:snapToGrid/>
        <w:spacing w:beforeLines="0" w:afterLines="0" w:line="520" w:lineRule="exact"/>
        <w:ind w:firstLine="643"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9.2 低空经济智能终端关键技术研发</w:t>
      </w:r>
    </w:p>
    <w:p w14:paraId="381EEB37">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围绕低空经济智能终端产业的高可靠、高安全、高智能化发展需求，重点攻克以下关键技术难题：无人机（群）在强电磁隔离/强干扰环境下的通信与协同技术研究；无人机及智能终端设备端侧算力受限与AI大模型离线部署中资源与硬件适配关键技术研究；应急场景下，异构网络协同调度，可视化统一管控智能终端研发与产业化；低空飞行器核心元器件抗干扰与动态补偿关键技术研发。</w:t>
      </w:r>
    </w:p>
    <w:p w14:paraId="4F6E8D3F">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研发低空光</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无线融合通信系统1套（带宽≥1Gbps，延迟≤20ms</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误码率≤1e-6</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通信距离≥10</w:t>
      </w:r>
      <w:r>
        <w:rPr>
          <w:rFonts w:hint="default" w:ascii="Times New Roman" w:hAnsi="Times New Roman" w:eastAsia="仿宋_GB2312" w:cs="Times New Roman"/>
          <w:color w:val="auto"/>
          <w:sz w:val="32"/>
          <w:szCs w:val="32"/>
          <w:lang w:val="en-US" w:eastAsia="zh-CN"/>
        </w:rPr>
        <w:t>k</w:t>
      </w:r>
      <w:r>
        <w:rPr>
          <w:rFonts w:hint="default" w:ascii="Times New Roman" w:hAnsi="Times New Roman" w:eastAsia="仿宋_GB2312" w:cs="Times New Roman"/>
          <w:color w:val="auto"/>
          <w:sz w:val="32"/>
          <w:szCs w:val="32"/>
        </w:rPr>
        <w:t>M）；形成轻量化图像融合模型1套（AI大模型离线推理准确率≥95%）；空天地一体化应急终端1-2款（自组网建网≤30s，异构切换≤50ms）；低空飞行器智能核心元器件1-2个</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申请发明专利≥2件</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kern w:val="2"/>
          <w:sz w:val="32"/>
          <w:szCs w:val="32"/>
          <w:lang w:val="en-US" w:eastAsia="zh-CN" w:bidi="ar"/>
        </w:rPr>
        <w:t>软件著作权≥2件</w:t>
      </w:r>
      <w:r>
        <w:rPr>
          <w:rFonts w:hint="default" w:ascii="Times New Roman" w:hAnsi="Times New Roman" w:eastAsia="仿宋_GB2312" w:cs="Times New Roman"/>
          <w:color w:val="auto"/>
          <w:sz w:val="32"/>
          <w:szCs w:val="32"/>
        </w:rPr>
        <w:t>；培养专业人才≥15人。</w:t>
      </w:r>
    </w:p>
    <w:p w14:paraId="54627110">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9.3 面向复杂场景的智能视觉终端关键技术研发与产业化</w:t>
      </w:r>
    </w:p>
    <w:p w14:paraId="6E7412A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
        </w:rPr>
        <w:t>针对火车站、超市、广场等复杂安防监控应用场景，研究端侧推理架构，开发端侧AI摄像机产品，实现分布式软总线协调框架下端侧设备间的信息与数据连接、交互；针对高并发、跨场景（可见光、红外场景）协调等应用场景，研究跨模态视觉信息处理技术与多层次高并发架构技术，实现海量摄像头的接入，以及复杂目标行为的解析；针对强反光等复杂场景，开发端侧AI视觉终端平台，解决场景成像差异大、软硬件协调不足等技术难题。</w:t>
      </w:r>
    </w:p>
    <w:p w14:paraId="1A8E7956">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kern w:val="2"/>
          <w:sz w:val="32"/>
          <w:szCs w:val="32"/>
          <w:lang w:val="en-US" w:eastAsia="zh-CN" w:bidi="ar"/>
        </w:rPr>
        <w:t>开发AI终端产品1-2款，控制≥3类分布式AI终端设备的联动，分布延时≤100ms；开发数智平台1个，实现≥10万路摄像头的接入，视频流延时≤500ms；开发1套侧端AI视觉终端平台，端侧对人、车等对象的识别准确率≥95%，成果至少在3类场景得到示范应用和推广；申请发明专利≥2件，软件著作权≥2件。</w:t>
      </w:r>
    </w:p>
    <w:p w14:paraId="233BB8DA">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9.4 陕南特色产业数据采集及融合应用关键技术研究</w:t>
      </w:r>
    </w:p>
    <w:p w14:paraId="362A343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
        </w:rPr>
        <w:t>针对陕南地区相关特色产业（农业、林业等）数据孤岛化分散等问题，研究核心数据采集口径与规范，解决数据杂乱、标准不一问题，研究多源异构数据融合与分析技术，实现多源数据互联互通，构建垂直化大模型平台，提供智能化分析与精准决策支撑，助力陕南特色产业向数字产业转型。</w:t>
      </w:r>
    </w:p>
    <w:p w14:paraId="5A3B1D6B">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kern w:val="2"/>
          <w:sz w:val="32"/>
          <w:szCs w:val="32"/>
          <w:lang w:val="en-US" w:eastAsia="zh-CN" w:bidi="ar"/>
        </w:rPr>
        <w:t>围绕特色产业的多源数据采集与标注技术规范、知识图谱构建与数据融合标准，制定产业技术标准2项，建立面向陕南特色产业的垂直大模型平台1个，平台对产业数据查询与分析的综合准确率≥85%，申请发明专利≥2件，培养技术人才10-20人，成果在2家以上陕南特色产业园区完成部署转化。</w:t>
      </w:r>
    </w:p>
    <w:p w14:paraId="08998776">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9.5 面向区域算力网络的智能安全中继关键技术研究与应用</w:t>
      </w:r>
    </w:p>
    <w:p w14:paraId="114954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围绕区域算力网络中的安全隔离与高效协同需求</w:t>
      </w:r>
      <w:r>
        <w:rPr>
          <w:rFonts w:hint="default" w:ascii="Times New Roman" w:hAnsi="Times New Roman"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重点开展如下专题研究：同时满足内外网物理隔离与超低延时音视频、数据实时交互的网络安全核心设备的研发；区域算力网络中多种网络架构（如5G、有线）与异构算力资源（CPU、GPU等）统一调度与协同</w:t>
      </w:r>
      <w:r>
        <w:rPr>
          <w:rFonts w:hint="default" w:ascii="Times New Roman" w:hAnsi="Times New Roman" w:cs="Times New Roman"/>
          <w:b w:val="0"/>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以及在智能中继节点上，Agent调用大模型与私有数据库时提高数据传输效率、模型适配性，以及解决带宽资源受限问题等技术研究及应用；构建终端安全认证、硬件加密、物理隔离等多层次安全防护体系，实现高强度安全防护与性能平衡的技术研究。</w:t>
      </w:r>
    </w:p>
    <w:p w14:paraId="4B0E4782">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研发面向区域算力网络的智能安全中继网关设备1套，实现内外网非IP方式的物理隔离数据交互，支持数据业务端到端延时≤10ms；实现异构网络与算力资源的协同调度准确性≥95%，面向国产操作系统开发AI调度软件，完成至少3轮内部测试与1轮用户试用，大模型与私有数据库调用响应时间提升≥30%；集成终端安全认证与硬件KEY加密机制，通过第三方安全测试，满足政府/企业等高安全等级单位使用要求，设备在典型算力网络环境下无故障运行时长（MTBF）≥50小时，完成至少3种硬件方案对比测试并完成样品试制；形成技术报告1份，申请发明专利≥2件、软著≥1件。</w:t>
      </w:r>
    </w:p>
    <w:p w14:paraId="35BBE7A6">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9.6 县域即时配送与网络货运协同的山区物流智能调度关键技术研发及示范应用</w:t>
      </w:r>
    </w:p>
    <w:p w14:paraId="7AA2433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
        </w:rPr>
        <w:t>针对秦巴山区物流行业面临路网条件复杂、订单分布高度分散且时空不均衡等技术瓶颈，融合路网、坡度等静态数据，以及实时天气等动态数据，构建适配山区特征的配送路网数字模型；针对县域即时配送订单分散、时段波动大的特点，构建基于深度学习的短时订单需求预测模型，实现高峰期运力的超前部署与闲时资源的弹性调度，解决运力错配问题；综合山区道路通行限制、车辆类型、时效窗口、装卸点等约束条件，研发智能调度算法，实现订单与运力的实时最优匹配与动态路径重规划。</w:t>
      </w:r>
    </w:p>
    <w:p w14:paraId="4227A9AC">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kern w:val="2"/>
          <w:sz w:val="32"/>
          <w:szCs w:val="32"/>
          <w:lang w:val="en-US" w:eastAsia="zh-CN" w:bidi="ar"/>
        </w:rPr>
        <w:t>研发适配山区特征的配送路网数字模型1套；开发适配山区物流的AI智能调度系统1套，可支撑县域即时配送、网络货运等场景，兼容接入订单、车辆、人员、路网、天气等多源异构数据不少于5类，实现跨企业的数据协同与整合；即时配送场景下，高峰期调度效率提升≥20%，配送超时率＜3%；网络货运场景下，车货匹配准确率&gt;90%，调度响应时间达到秒级，车辆空驶率降低15%以上；申请发明专利≥2件、软件著作权或标准规范等成果≥2件，制定相关技术标准1项；在县域即时配送及网络货运场景完成示范应用。</w:t>
      </w:r>
    </w:p>
    <w:p w14:paraId="266C3E5B">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 xml:space="preserve">9.7 </w:t>
      </w:r>
      <w:r>
        <w:rPr>
          <w:rFonts w:hint="default" w:ascii="Times New Roman" w:hAnsi="Times New Roman" w:eastAsia="仿宋_GB2312" w:cs="Times New Roman"/>
          <w:b/>
          <w:bCs/>
          <w:color w:val="auto"/>
          <w:kern w:val="2"/>
          <w:sz w:val="32"/>
          <w:szCs w:val="32"/>
          <w:lang w:val="en-US" w:eastAsia="zh-CN" w:bidi="ar"/>
        </w:rPr>
        <w:t>面向秦巴特色产业“端</w:t>
      </w:r>
      <w:r>
        <w:rPr>
          <w:rFonts w:hint="eastAsia" w:cs="Times New Roman"/>
          <w:b/>
          <w:bCs/>
          <w:color w:val="auto"/>
          <w:kern w:val="2"/>
          <w:sz w:val="32"/>
          <w:szCs w:val="32"/>
          <w:lang w:val="en-US" w:eastAsia="zh-CN" w:bidi="ar"/>
        </w:rPr>
        <w:t>-</w:t>
      </w:r>
      <w:r>
        <w:rPr>
          <w:rFonts w:hint="default" w:ascii="Times New Roman" w:hAnsi="Times New Roman" w:eastAsia="仿宋_GB2312" w:cs="Times New Roman"/>
          <w:b/>
          <w:bCs/>
          <w:color w:val="auto"/>
          <w:kern w:val="2"/>
          <w:sz w:val="32"/>
          <w:szCs w:val="32"/>
          <w:lang w:val="en-US" w:eastAsia="zh-CN" w:bidi="ar"/>
        </w:rPr>
        <w:t>边</w:t>
      </w:r>
      <w:r>
        <w:rPr>
          <w:rFonts w:hint="eastAsia" w:cs="Times New Roman"/>
          <w:b/>
          <w:bCs/>
          <w:color w:val="auto"/>
          <w:kern w:val="2"/>
          <w:sz w:val="32"/>
          <w:szCs w:val="32"/>
          <w:lang w:val="en-US" w:eastAsia="zh-CN" w:bidi="ar"/>
        </w:rPr>
        <w:t>-</w:t>
      </w:r>
      <w:r>
        <w:rPr>
          <w:rFonts w:hint="default" w:ascii="Times New Roman" w:hAnsi="Times New Roman" w:eastAsia="仿宋_GB2312" w:cs="Times New Roman"/>
          <w:b/>
          <w:bCs/>
          <w:color w:val="auto"/>
          <w:kern w:val="2"/>
          <w:sz w:val="32"/>
          <w:szCs w:val="32"/>
          <w:lang w:val="en-US" w:eastAsia="zh-CN" w:bidi="ar"/>
        </w:rPr>
        <w:t>云”协同智算关键技术研究</w:t>
      </w:r>
    </w:p>
    <w:p w14:paraId="5E0E360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bCs w:val="0"/>
          <w:color w:val="auto"/>
          <w:kern w:val="2"/>
          <w:sz w:val="32"/>
          <w:szCs w:val="32"/>
          <w:lang w:val="en-US" w:eastAsia="zh-CN" w:bidi="ar"/>
        </w:rPr>
        <w:t>围绕蚕桑或生态渔业的生产环境精准调控、生长过程智能监测，在“端</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边</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云”协同架构下开展以下关键技术研究：秦巴山区复杂环境下蚕、鱼养殖涉及的环境参数、图像等多源异构数据的泛在感知与边缘端轻量化实时计算；面向蚕桑或渔业的生产任务优先级和实时性要求，实现智能化的任务卸载与资源动态调度</w:t>
      </w:r>
      <w:r>
        <w:rPr>
          <w:rFonts w:hint="default" w:ascii="Times New Roman" w:hAnsi="Times New Roman"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融合环境、生长、病害等多模态数据，构建机理</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数据混合驱动的分析模型进行多模态数据融合建模与“端</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边</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云”协同智能决策；设计轻量级加密算法和高效访问控制策略，在保证实时计算性能的前提下，实现数据采集、传输、存储及计算全链路的安全防护与隐私保障的“端</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边</w:t>
      </w:r>
      <w:r>
        <w:rPr>
          <w:rFonts w:hint="eastAsia" w:cs="Times New Roman"/>
          <w:b w:val="0"/>
          <w:bCs w:val="0"/>
          <w:color w:val="auto"/>
          <w:kern w:val="2"/>
          <w:sz w:val="32"/>
          <w:szCs w:val="32"/>
          <w:lang w:val="en-US" w:eastAsia="zh-CN" w:bidi="ar"/>
        </w:rPr>
        <w:t>-</w:t>
      </w:r>
      <w:r>
        <w:rPr>
          <w:rFonts w:hint="default" w:ascii="Times New Roman" w:hAnsi="Times New Roman" w:eastAsia="仿宋_GB2312" w:cs="Times New Roman"/>
          <w:b w:val="0"/>
          <w:bCs w:val="0"/>
          <w:color w:val="auto"/>
          <w:kern w:val="2"/>
          <w:sz w:val="32"/>
          <w:szCs w:val="32"/>
          <w:lang w:val="en-US" w:eastAsia="zh-CN" w:bidi="ar"/>
        </w:rPr>
        <w:t>云”全链路农业数据安全与隐私保护机制。</w:t>
      </w:r>
    </w:p>
    <w:p w14:paraId="06F59A1B">
      <w:pPr>
        <w:pStyle w:val="5"/>
        <w:keepNext w:val="0"/>
        <w:keepLines w:val="0"/>
        <w:pageBreakBefore w:val="0"/>
        <w:widowControl w:val="0"/>
        <w:kinsoku/>
        <w:wordWrap/>
        <w:overflowPunct/>
        <w:topLinePunct w:val="0"/>
        <w:autoSpaceDE/>
        <w:autoSpaceDN/>
        <w:bidi w:val="0"/>
        <w:adjustRightInd/>
        <w:snapToGrid/>
        <w:spacing w:after="0" w:line="520" w:lineRule="exact"/>
        <w:textAlignment w:val="auto"/>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b w:val="0"/>
          <w:bCs w:val="0"/>
          <w:color w:val="auto"/>
          <w:kern w:val="2"/>
          <w:sz w:val="32"/>
          <w:szCs w:val="32"/>
          <w:highlight w:val="none"/>
          <w:lang w:val="en-US" w:eastAsia="zh-CN" w:bidi="ar-SA"/>
        </w:rPr>
        <w:t>研制面向蚕桑或渔业场景的轻量化智能感知终端2款，边缘计算节点适配方案2套，端</w:t>
      </w:r>
      <w:r>
        <w:rPr>
          <w:rFonts w:hint="eastAsia"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边</w:t>
      </w:r>
      <w:r>
        <w:rPr>
          <w:rFonts w:hint="eastAsia"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云协同管理平台1个；环境参数调控指标≥3类，边缘端推理延迟≤200ms，多源数据融合分析准确率≥90%，端</w:t>
      </w:r>
      <w:r>
        <w:rPr>
          <w:rFonts w:hint="eastAsia"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边</w:t>
      </w:r>
      <w:r>
        <w:rPr>
          <w:rFonts w:hint="eastAsia"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云协同调度资源利用率提升≥30%；在陕南蚕桑和生态渔业典型区域建立示范应用基地不少于2个，系统覆盖养殖规模不少于200亩（或相当量级），减少人工巡检频次≥50%</w:t>
      </w:r>
      <w:r>
        <w:rPr>
          <w:rFonts w:hint="eastAsia" w:cs="Times New Roman"/>
          <w:b w:val="0"/>
          <w:bCs w:val="0"/>
          <w:color w:val="auto"/>
          <w:kern w:val="2"/>
          <w:sz w:val="32"/>
          <w:szCs w:val="32"/>
          <w:highlight w:val="none"/>
          <w:lang w:val="en-US" w:eastAsia="zh-CN" w:bidi="ar-SA"/>
        </w:rPr>
        <w:t>；</w:t>
      </w:r>
      <w:r>
        <w:rPr>
          <w:rFonts w:hint="default" w:ascii="Times New Roman" w:hAnsi="Times New Roman" w:eastAsia="仿宋_GB2312" w:cs="Times New Roman"/>
          <w:b w:val="0"/>
          <w:bCs w:val="0"/>
          <w:color w:val="auto"/>
          <w:kern w:val="2"/>
          <w:sz w:val="32"/>
          <w:szCs w:val="32"/>
          <w:highlight w:val="none"/>
          <w:lang w:val="en-US" w:eastAsia="zh-CN" w:bidi="ar-SA"/>
        </w:rPr>
        <w:t>申请发明专利≥2件，软件著作权≥2件。</w:t>
      </w:r>
    </w:p>
    <w:p w14:paraId="125C4612">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9.8 慢性病管理与中医康养的智能决策与个性化服务关键技术研究</w:t>
      </w:r>
    </w:p>
    <w:p w14:paraId="56B9162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643"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cs="Times New Roman"/>
          <w:b/>
          <w:bCs/>
          <w:color w:val="auto"/>
          <w:kern w:val="2"/>
          <w:sz w:val="32"/>
          <w:szCs w:val="32"/>
          <w:lang w:val="en-US" w:eastAsia="zh-CN" w:bidi="ar-SA"/>
        </w:rPr>
        <w:t>研究方向</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eastAsia="仿宋_GB2312" w:cs="Times New Roman"/>
          <w:b w:val="0"/>
          <w:color w:val="auto"/>
          <w:kern w:val="2"/>
          <w:sz w:val="32"/>
          <w:szCs w:val="32"/>
          <w:lang w:val="en-US" w:eastAsia="zh-CN" w:bidi="ar-SA"/>
        </w:rPr>
        <w:t>围绕慢性病管理与中医康养的智能决策与个性化服务，开展以下关键技术研究：慢性病管理涉及电子病历、体检报告、可穿戴设备监测数据、中医体质辨识结果等多源异构健康数据的标准化采集，制定标准化采集规范，实现结构化数据、时序监测数据与非结构化文本（如中医四诊信息）的有效融合；将中医经典文献、名医经验、临床案例等中医辨证知识进行数字化表达，构建基于深度学习模型的中医“理法方药”可解释模型，实现基于多模态数据（舌象、面色、声音等）的中医体质智能辨识与动态证候演化分析；构建基于患者多维度健康数据与中医体质辨识结果</w:t>
      </w:r>
      <w:r>
        <w:rPr>
          <w:rFonts w:hint="default" w:ascii="Times New Roman" w:hAnsi="Times New Roman" w:cs="Times New Roman"/>
          <w:b w:val="0"/>
          <w:color w:val="auto"/>
          <w:kern w:val="2"/>
          <w:sz w:val="32"/>
          <w:szCs w:val="32"/>
          <w:lang w:val="en-US" w:eastAsia="zh-CN" w:bidi="ar-SA"/>
        </w:rPr>
        <w:t>的</w:t>
      </w:r>
      <w:r>
        <w:rPr>
          <w:rFonts w:hint="default" w:ascii="Times New Roman" w:hAnsi="Times New Roman" w:eastAsia="仿宋_GB2312" w:cs="Times New Roman"/>
          <w:b w:val="0"/>
          <w:color w:val="auto"/>
          <w:kern w:val="2"/>
          <w:sz w:val="32"/>
          <w:szCs w:val="32"/>
          <w:lang w:val="en-US" w:eastAsia="zh-CN" w:bidi="ar-SA"/>
        </w:rPr>
        <w:t>个性化康养方案智能生成模型，实现康养方案根据患者实时健康状态的动态调整与自适应优化，以及轻量化、低成本的个性化服务部署。</w:t>
      </w:r>
    </w:p>
    <w:p w14:paraId="4841F0EC">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考核指标：</w:t>
      </w:r>
      <w:r>
        <w:rPr>
          <w:rFonts w:hint="default" w:ascii="Times New Roman" w:hAnsi="Times New Roman" w:eastAsia="仿宋_GB2312" w:cs="Times New Roman"/>
          <w:color w:val="auto"/>
          <w:sz w:val="32"/>
          <w:szCs w:val="32"/>
        </w:rPr>
        <w:t>构建慢性病多源异构健康数据标准化采集与融合平台1个，覆盖数据维度不少于5类；研制中医体质智能辨识模型1套，准确率≥90%；开发个性化康养方案智能生成系统1套，方案生成响应时间≤3秒；建立面向至少2种典型慢性病（如糖尿病、高血压）的智能决策与个性化服务示范系统</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rPr>
        <w:t>在省域内至少2个社区或康养机构建立应用示范点，服务慢性病患者不少于500人；个性化康养方案患者依从性提升≥30%；申请发明专利≥2件，软件著作权≥2件，形成行业技术标准或规范草案≥1项。</w:t>
      </w:r>
    </w:p>
    <w:p w14:paraId="5AACA8C5">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应在安康市应用或落地转化，助力安康</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1C89EB99">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56526AA8">
      <w:pPr>
        <w:keepNext w:val="0"/>
        <w:keepLines w:val="0"/>
        <w:pageBreakBefore w:val="0"/>
        <w:widowControl w:val="0"/>
        <w:suppressAutoHyphens/>
        <w:kinsoku/>
        <w:wordWrap/>
        <w:overflowPunct/>
        <w:topLinePunct w:val="0"/>
        <w:autoSpaceDE/>
        <w:autoSpaceDN/>
        <w:bidi w:val="0"/>
        <w:adjustRightInd/>
        <w:snapToGrid/>
        <w:spacing w:line="520" w:lineRule="exact"/>
        <w:ind w:firstLine="640" w:firstLineChars="200"/>
        <w:jc w:val="both"/>
        <w:textAlignment w:val="auto"/>
        <w:outlineLvl w:val="0"/>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pPr>
      <w:r>
        <w:rPr>
          <w:rFonts w:hint="default" w:ascii="Times New Roman" w:hAnsi="Times New Roman" w:eastAsia="黑体" w:cs="Times New Roman"/>
          <w:color w:val="000000" w:themeColor="text1"/>
          <w:kern w:val="44"/>
          <w:sz w:val="32"/>
          <w:szCs w:val="32"/>
          <w:lang w:val="en-US" w:eastAsia="zh-CN" w:bidi="ar-SA"/>
          <w14:textFill>
            <w14:solidFill>
              <w14:schemeClr w14:val="tx1"/>
            </w14:solidFill>
          </w14:textFill>
        </w:rPr>
        <w:t>10.汽车零部件及装备制造产业创新能力提升</w:t>
      </w:r>
    </w:p>
    <w:p w14:paraId="22A0987A">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10.1 车用高性能粉末冶金不锈钢零部件关键技术研发与应用</w:t>
      </w:r>
    </w:p>
    <w:p w14:paraId="4F50589A">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开发小型在线精炼与水气联合雾化工艺，通过优化钢液纯净度与雾化参数（如粒度、球形度、氧含量），实现工程化制备氧含量≤1500ppm的高品质304不锈钢粉，为粉末冶金提供优质原料；利用自研304不锈钢粉，研究粉末特性、成形密度、烧结制度与零部件力学性能（抗拉强度、延伸率、疲劳性能）之间的关系，建立粉末冶金近净成形工艺，制造高机械性能的车用轻量化不锈钢零部件，并形成稳定生产线。</w:t>
      </w:r>
    </w:p>
    <w:p w14:paraId="290B1874">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成功制备球形度≥95%、粒径范围均匀在20~50</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μm</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、氧含量≤1500ppm、堆积密度≥4.5g/cm</w:t>
      </w:r>
      <w:r>
        <w:rPr>
          <w:rFonts w:hint="default" w:ascii="Times New Roman" w:hAnsi="Times New Roman" w:eastAsia="仿宋_GB2312" w:cs="Times New Roman"/>
          <w:color w:val="000000" w:themeColor="text1"/>
          <w:kern w:val="2"/>
          <w:sz w:val="32"/>
          <w:szCs w:val="32"/>
          <w:vertAlign w:val="superscript"/>
          <w:lang w:val="en-US" w:eastAsia="zh-CN" w:bidi="ar-SA"/>
          <w14:textFill>
            <w14:solidFill>
              <w14:schemeClr w14:val="tx1"/>
            </w14:solidFill>
          </w14:textFill>
        </w:rPr>
        <w:t>3</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的304不锈钢粉；其烧结零件相对密度≥96%，典型零件抗拉强度≥600MPa，可填补国产车规级高性能粉末冶金不锈钢关键零部件的空白；建成“水气雾化高质量粉末</w:t>
      </w:r>
      <w:r>
        <w:rPr>
          <w:rFonts w:hint="eastAsia"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活化烧结</w:t>
      </w:r>
      <w:r>
        <w:rPr>
          <w:rFonts w:hint="eastAsia"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高性能零部件”垂直整合中试示范线1条，形成年产50万件配套能力；形成企业标准或工艺规范≥2项，申请发明专利不少于2件，培养技术骨干≥5人。</w:t>
      </w:r>
    </w:p>
    <w:p w14:paraId="2ABAD36F">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0" w:name="_Hlk168578423"/>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10.2</w:t>
      </w:r>
      <w:r>
        <w:rPr>
          <w:rFonts w:hint="default" w:ascii="Times New Roman" w:hAnsi="Times New Roman" w:eastAsia="仿宋_GB2312" w:cs="Times New Roman"/>
          <w:b/>
          <w:bCs/>
          <w:color w:val="FF0000"/>
          <w:kern w:val="2"/>
          <w:sz w:val="32"/>
          <w:szCs w:val="32"/>
          <w:lang w:val="en-US" w:eastAsia="zh-CN" w:bidi="ar-SA"/>
        </w:rPr>
        <w:t xml:space="preserve"> </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新能源汽车用碳纤维加热关键技术</w:t>
      </w:r>
    </w:p>
    <w:p w14:paraId="09F838ED">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面向新能源汽车领域，针对碳纤维复合功能护板规模化应用中的“卡脖子”技术，开发碳纤维电池护板发热一体化技术，解决高寒地区冬季用车的实际场景痛点。重点开展碳纤维电热丝增韧改性、低阻抗连接、应力释放布线、智能分区温控及自动化产线集成等关键技术攻关，实现碳纤维加热技术在电池护板中的规模化应用，满足汽车零部件及装备制造产业链发展需求。</w:t>
      </w:r>
    </w:p>
    <w:p w14:paraId="2E7A9F4B">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在-30℃环境下，电池包从-20℃升温至0℃时间≤15分钟，发热区域表面温差≤±5℃；抗机械冲击满足GB/T 31467.3标准，发热层无断裂，高低温循环（-40℃~180℃，500次）及振动后电阻变化率≤±10%；电热丝表面温差≤±5℃，升温速率（-20℃→40℃）≤90秒，模拟坐压（≥50kPa，30次/min）循环20万次后无断裂且电阻变化率≤±10%，耐弯折次数≥10万次，电极接触电阻≤15mΩ，材料及制造成本增幅≤15%，寿命≥10年；申请发明专利不少于2件，培养中高级人才≥3名；实现在车用动力电池生产企业的应用示范。</w:t>
      </w:r>
    </w:p>
    <w:bookmarkEnd w:id="0"/>
    <w:p w14:paraId="04F7233F">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10.3 锂离子动力电池能量密度提升关键技术</w:t>
      </w:r>
    </w:p>
    <w:p w14:paraId="5B78AD92">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通过优化正极材料配比、调控颗粒形貌与微观结构，改善材料导电性与离子传输效率；优化电极涂布、压实工艺，提高电极活性物质负载量；开发高安全的纤维基锂电池隔膜/电解液体系及电极/电解液界面改性技术，提高电池热稳定性并降低极化损耗，减少充放电过程中的副反应；探究材料结构、制备工艺对电池容量、循环性能的影响，进行动力电池用高导热绝缘复合封装材料开发，优化填料表面改性与复配体系，降低电池散热失效引发热失控风险，在有效提升锂电池能量密度的同时，保障电池的高循环稳定性与高安全性。</w:t>
      </w:r>
    </w:p>
    <w:p w14:paraId="6384072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单体能量密度≥300 Wh/kg；1C循环1000次后容量保持率≥88%；2C倍率放电容量保持率≥93%；所开发的纤维基锂电池隔膜270℃下1h热收缩率≤1%，复合封装材料导热率≥3</w:t>
      </w:r>
      <w:r>
        <w:rPr>
          <w:rFonts w:hint="default" w:ascii="Times New Roman" w:hAnsi="Times New Roman" w:cs="Times New Roman"/>
          <w:bCs/>
          <w:color w:val="000000" w:themeColor="text1"/>
          <w:kern w:val="2"/>
          <w:sz w:val="32"/>
          <w:szCs w:val="32"/>
          <w:lang w:val="en-US" w:eastAsia="zh-CN" w:bidi="ar-SA"/>
          <w14:textFill>
            <w14:solidFill>
              <w14:schemeClr w14:val="tx1"/>
            </w14:solidFill>
          </w14:textFill>
        </w:rPr>
        <w:t>w</w:t>
      </w:r>
      <w:r>
        <w:rPr>
          <w:rFonts w:hint="default" w:ascii="Times New Roman" w:hAnsi="Times New Roman" w:eastAsia="仿宋_GB2312" w:cs="Times New Roman"/>
          <w:bCs/>
          <w:color w:val="000000" w:themeColor="text1"/>
          <w:kern w:val="2"/>
          <w:sz w:val="32"/>
          <w:szCs w:val="32"/>
          <w:lang w:val="en-US" w:eastAsia="zh-CN" w:bidi="ar-SA"/>
          <w14:textFill>
            <w14:solidFill>
              <w14:schemeClr w14:val="tx1"/>
            </w14:solidFill>
          </w14:textFill>
        </w:rPr>
        <w:t>/(m·k)，单体电池过充、针刺测试无热失控，温升＜50℃；开发新产品1项，实现典型场景的应用示范；申请发明专利不少于2件；提供研究报告1份。</w:t>
      </w:r>
    </w:p>
    <w:p w14:paraId="5F9638EC">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bookmarkStart w:id="1" w:name="_Hlk168578434"/>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10.4 氢燃料电池用气悬浮高速离心空压机核心技术攻关及产品开发</w:t>
      </w:r>
    </w:p>
    <w:p w14:paraId="4B556C6F">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bookmarkEnd w:id="1"/>
      <w:r>
        <w:rPr>
          <w:rFonts w:hint="default" w:ascii="Times New Roman" w:hAnsi="Times New Roman" w:cs="Times New Roman"/>
          <w:color w:val="000000" w:themeColor="text1"/>
          <w14:textFill>
            <w14:solidFill>
              <w14:schemeClr w14:val="tx1"/>
            </w14:solidFill>
          </w14:textFill>
        </w:rPr>
        <w:t>构建高速重载条件下稳定运行的转子动力学性能预测模型，实现转子临界转速以及转子通过临界转速的状态等转子特性的综合评估；高速电机研发及系统机电耦合控制研究基于压缩端与膨胀端自耦匹配的计算模型，获得全速域电机负载特性的准确描述，为转矩的动态匹配和转速的精确控制提供依据；进行转子位置准确估算研究及功率拓扑优化设计，以实现电机与叶轮机械端的高工况适应性耦合控制，研发出高工况适应性的高速电机；开展“机械</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流体</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散热</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电气</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控制”等关键部件协同耦合设计与开发研究，集成研制动压气浮轴承单级压缩离心空压机，并进行整机性能测试和优化。</w:t>
      </w:r>
    </w:p>
    <w:p w14:paraId="6E4AFDE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解决气悬浮高速空压机噪声大，启停次数少的核心问题，空压机为采用气浮轴承支承的单级压缩离心空压机。额定质量流量≥60克/秒，最高压缩比≥1.5，最高等熵效率≥65%，最大噪声≤85分贝；启停次数≥1万次,预期寿命≥10000小时；申请发明专利不少于2件，软著3件；开发新产品1种，实现典型场景的应用示范。</w:t>
      </w:r>
    </w:p>
    <w:p w14:paraId="74466B30">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10.5 新型熔断器核心技术攻关及产品应用研究</w:t>
      </w:r>
    </w:p>
    <w:p w14:paraId="3709AF20">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研发高性能复合熔体材料，设计新型熔断器的产品结构，研究高低温湿热等工况的性能影响机制，优化灭弧与散热结构，完善精密制造工艺，通过仿真与可靠性测试突破性能壁垒，解决新能源配电、工业电控等场景下高分断、长寿命、高可靠防护难题，满足新能源及配电场景长期稳定运行要求，实现高端熔断器国产化替代。</w:t>
      </w:r>
    </w:p>
    <w:p w14:paraId="25D36915">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楷体_GB2312" w:cs="Times New Roman"/>
          <w:color w:val="000000" w:themeColor="text1"/>
          <w:kern w:val="2"/>
          <w:sz w:val="36"/>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新型熔断器额定电流10～630A，耐受电压较传统产品提升≥20%；新型熔断器短路分断能力≥50kA，分断时间≤5ms；新型熔断器额定工况下温升降低≥15K；循环通断寿命提升≥30%；高低温、湿热工况下无失效，保护动作准确率100%；一致性偏差≤3%；申请发明专利不少于2件；开发新产品1项，提供研究报告1份，实现典型场景应用示范。</w:t>
      </w:r>
    </w:p>
    <w:p w14:paraId="1C93CF97">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10.6基于汽车电致变色后视镜的3D曲面光学玻璃的关键技术</w:t>
      </w:r>
    </w:p>
    <w:p w14:paraId="0335FFC3">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开发3D光学曲面玻璃与电致变色功能层一体化集成技术，实现大曲率、高面形精度、低应力、高均匀性曲面光学组件制备；攻克曲面电致变色膜层均匀性、响应一致性、残影抑制及应力开裂控制等行业共性难题；建立热-力-光-电多物理场耦合调控与全流程闭环质量管控体系，实现车规级高可靠、高良率智能制造；形成从基材、成型、抛光、镀膜、电致变色、封装到检测的全链条国产化技术路线，打破国外垄断。</w:t>
      </w:r>
    </w:p>
    <w:p w14:paraId="5B66E46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曲面面形精度PV≤30μm，厚度公差±0.1mm，着色透光率≤8%、褪色≥70%，响应时间着色≤150ms、褪色≤200ms，循环寿命≥10万次，综合良率≥95%；建成自动化示范线，成本较进口降低≥25%，通过车规级认证并批量配套整车；申请发明专利4-6件，培养专业人才3-5人，填补国内高端产品空白。</w:t>
      </w:r>
    </w:p>
    <w:p w14:paraId="72775D68">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10.7 高安全高比能黑磷基固态电池开发及产业化</w:t>
      </w:r>
    </w:p>
    <w:p w14:paraId="1527D917">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实现高安全高比能黑磷基固态电池开发和产业落地，助力新能源汽车产业高速发展；开发高容量黑磷基负极材料合成工艺及批量化制造技术</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高安全高阻燃型聚合物固态电解质材料及其表/界面改性一体化技术；结合机器学习等新型技术实现高性能材料的筛选优化。</w:t>
      </w:r>
    </w:p>
    <w:p w14:paraId="4E3FF886">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制备的黑磷/碳复合负极材料首圈放电比容量&gt;1200mAh/g；聚合物固态电解质材料热稳定性在240℃下放置30min热收缩≤5%；所制备的黑磷基固态电池能量密度≥300Wh/kg；开发出制备黑磷基固态电池的关键设备并实现黑磷基固态电池的产业化，申请发明专利不少于2件；开发新产品1种；培养专业技术人才4人。</w:t>
      </w:r>
    </w:p>
    <w:p w14:paraId="62EFE842">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10.8 商用车轻质抗热裂复合强化制动材料关键技术</w:t>
      </w:r>
    </w:p>
    <w:p w14:paraId="3B0F9BF1">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面向新能源商用车制动系统轻量化与高可靠性需求，开展轻质抗热裂复合强化制动器关键技术研究。重点开发新型复合材料配方与先进成型工艺（铸造/锻造），研制兼具低密度（为铸铁的1/3）、低成本（与铸铁相当）、高耐磨（为铸铁的3倍）、高导热（为铸铁的4倍）、耐腐蚀（不生锈）及抗热裂性能的制动材料。系统研究复合材料的组分设计、界面调控、成型工艺与微观结构对其刚度、强度、抗疲劳性、热膨胀系数、阻尼性能及高温稳定性的影响规律。通过材料</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工艺</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性能</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体化设计，实现制动器重量减轻40%-60%，满足100万公里使用寿命及新能源汽车EMB制动系统要求，为商用车制动系统轻量化与长效可靠提供技术支撑。</w:t>
      </w:r>
    </w:p>
    <w:p w14:paraId="6201E1FD">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满足制动器摩擦材料的pH值、吸水性、水衰退、除锈性、MPU特性、DTV特性、BTV特性、AMS特性、stick-slip等特性；制动盘抗拉强度&gt;350MPa，延伸率&gt;4%，密度2.8g/cm³；在制动系统AMS测试中，最大制动力矩变化相对值≤10%，最大制动力矩变化≤50N</w:t>
      </w:r>
      <w:r>
        <w:rPr>
          <w:rFonts w:hint="default" w:ascii="Times New Roman" w:hAnsi="Times New Roman" w:cs="Times New Roman"/>
          <w:color w:val="000000" w:themeColor="text1"/>
          <w:kern w:val="2"/>
          <w:sz w:val="32"/>
          <w:szCs w:val="32"/>
          <w:lang w:val="en-US" w:eastAsia="zh-CN" w:bidi="ar-SA"/>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m；开发新材料1种，申请发明专利不少于2件，提供国家权威检测机构100万公里的性能测试报告。</w:t>
      </w:r>
    </w:p>
    <w:p w14:paraId="2DEEBFD8">
      <w:pPr>
        <w:keepNext w:val="0"/>
        <w:keepLines w:val="0"/>
        <w:pageBreakBefore w:val="0"/>
        <w:widowControl w:val="0"/>
        <w:suppressAutoHyphens/>
        <w:kinsoku/>
        <w:wordWrap/>
        <w:overflowPunct/>
        <w:topLinePunct w:val="0"/>
        <w:autoSpaceDE/>
        <w:autoSpaceDN/>
        <w:bidi w:val="0"/>
        <w:adjustRightInd/>
        <w:snapToGrid/>
        <w:spacing w:beforeAutospacing="0" w:afterAutospacing="0" w:line="520" w:lineRule="exact"/>
        <w:ind w:firstLine="643" w:firstLineChars="200"/>
        <w:jc w:val="both"/>
        <w:textAlignment w:val="auto"/>
        <w:outlineLvl w:val="1"/>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10.9 精密直线导轨研磨成型工艺稳定性提升及宽幅重载导轨新品开发与应用</w:t>
      </w:r>
    </w:p>
    <w:p w14:paraId="24DB5425">
      <w:pPr>
        <w:keepNext w:val="0"/>
        <w:keepLines w:val="0"/>
        <w:pageBreakBefore w:val="0"/>
        <w:widowControl w:val="0"/>
        <w:kinsoku/>
        <w:wordWrap/>
        <w:overflowPunct/>
        <w:topLinePunct w:val="0"/>
        <w:autoSpaceDE/>
        <w:autoSpaceDN/>
        <w:bidi w:val="0"/>
        <w:adjustRightInd/>
        <w:snapToGrid/>
        <w:spacing w:line="520" w:lineRule="exact"/>
        <w:ind w:firstLine="643"/>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研究方向：</w:t>
      </w:r>
      <w:r>
        <w:rPr>
          <w:rFonts w:hint="default" w:ascii="Times New Roman" w:hAnsi="Times New Roman" w:cs="Times New Roman"/>
          <w:color w:val="000000" w:themeColor="text1"/>
          <w14:textFill>
            <w14:solidFill>
              <w14:schemeClr w14:val="tx1"/>
            </w14:solidFill>
          </w14:textFill>
        </w:rPr>
        <w:t>面向高端直线导轨精密制造与国产化替代需求，开展高精度导轨智能加工技术与宽幅重载产品研发。重点研究：基于多物理场仿真与机器学习算法，建立导轨磨削热力耦合模型，解决热变形、沟道偏差及批量一致性不足等共性难题；研发闭环智能磨削控制系统与在线误差补偿技术，实现高精度、高稳定性批量制造；开发DWR-12/14宽幅重载直线导轨，构建四列钢珠对称承载结构，突破狭小空间、大力矩工况下高刚性导轨制造关键技术，填补国内相关产品空白。依托企业与高校联合创新平台，构建“工艺</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质控</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新品”全链条创新体系，形成具有自主知识产权的高端导轨设计与制造能力，支撑高端导轨国产化替代与规模化产业应用。</w:t>
      </w:r>
    </w:p>
    <w:p w14:paraId="79AD2F1B">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考核指标：</w:t>
      </w:r>
      <w:r>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t>导轨直线度≤0.1mm/1000mm，批量一致性≥98%，整机噪音≤52dB，服役寿命≥12000小时；形成成套工艺及企业标准，申请发明专利不少于2件，软件著作权1-3件；新增导轨年产能15万套，年产总规模达80万套，年新增营收1900万元；补齐宽幅重载导轨空白，实现高端导轨国产化替代；开发新产品1项，并提供研究报告1份。</w:t>
      </w:r>
    </w:p>
    <w:p w14:paraId="1B673C05">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应在商洛市应用或落地转化，助力商洛</w:t>
      </w:r>
      <w:r>
        <w:rPr>
          <w:rFonts w:hint="eastAsia" w:ascii="Times New Roman" w:hAnsi="Times New Roman" w:cs="Times New Roman"/>
          <w:b/>
          <w:bCs/>
          <w:color w:val="000000"/>
          <w:kern w:val="0"/>
          <w:sz w:val="32"/>
          <w:szCs w:val="32"/>
          <w:lang w:val="en-US" w:eastAsia="zh-CN" w:bidi="ar"/>
        </w:rPr>
        <w:t>市</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p w14:paraId="45799900">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p>
    <w:p w14:paraId="68DAD380">
      <w:pPr>
        <w:pStyle w:val="2"/>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11.西北旱区农业生物种质创新与新品种选育关键技术研发及集成应用</w:t>
      </w:r>
    </w:p>
    <w:p w14:paraId="6756980C">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11.1 基于多技术融合的耐旱耐热转基因玉米品系筛选及安全评价体系构建</w:t>
      </w:r>
    </w:p>
    <w:p w14:paraId="33A85A1F">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围绕耐旱耐热转基因玉米的安全性评价与产业化应用开展系统研究。系统探明耐旱耐热转基因玉米外源基因整合模式、蛋白表达规律，明确外源蛋白食用风险及转基因材料对种植环境的影响，完善抗逆转基因玉米专属安全评价数据，为同类转基因作物评价提供参考；完成指定品系转基因玉米全套安全性评价及安全证书申报，培育耐高温干旱的玉米种质。提升极端环境下玉米抗逆能力与产能，拓宽玉米种植区域，同时明确其食用与环境安全风险，推动耐旱耐热转基因玉米规范化产业化应用。</w:t>
      </w:r>
    </w:p>
    <w:p w14:paraId="207303CD">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考核指标：</w:t>
      </w:r>
      <w:r>
        <w:rPr>
          <w:rFonts w:hint="default" w:ascii="Times New Roman" w:hAnsi="Times New Roman" w:eastAsia="仿宋_GB2312" w:cs="Times New Roman"/>
          <w:color w:val="000000" w:themeColor="text1"/>
          <w:sz w:val="32"/>
          <w:szCs w:val="32"/>
          <w14:textFill>
            <w14:solidFill>
              <w14:schemeClr w14:val="tx1"/>
            </w14:solidFill>
          </w14:textFill>
        </w:rPr>
        <w:t>完成4个基因耐旱、耐热转基因环境释放阶段的安全性评价；完成2个基因耐旱、耐热转基因生产试验阶段的安全性评价；提交1个转基因生物新品种安全证书申请，发表高水平论文2-3篇，创制新种质3-5个；耐旱耐热转基因玉米获批安全证书和品种审定证书，第一年推广100万亩，增产12.7万吨，培训技术人员500人次。</w:t>
      </w:r>
    </w:p>
    <w:p w14:paraId="07312328">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11.2 基于多基因叠加的抗虫耐除草剂玉米精准创制技术</w:t>
      </w:r>
    </w:p>
    <w:p w14:paraId="510EFC57">
      <w:pPr>
        <w:keepNext w:val="0"/>
        <w:keepLines w:val="0"/>
        <w:pageBreakBefore w:val="0"/>
        <w:widowControl w:val="0"/>
        <w:suppressAutoHyphens/>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针对我国玉米生产中虫害频发、杂草危害严重及现有转基因品种抗虫机制单一、易诱发害虫抗性的突出问题，通过聚合Cry1A</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mVip3Af、Cry1Da抗虫基因与CP4</w:t>
      </w:r>
      <w:r>
        <w:rPr>
          <w:rFonts w:hint="eastAsia" w:cs="Times New Roman"/>
          <w:b w:val="0"/>
          <w:color w:val="000000" w:themeColor="text1"/>
          <w:kern w:val="2"/>
          <w:sz w:val="32"/>
          <w:szCs w:val="32"/>
          <w:lang w:val="en-US" w:eastAsia="zh-CN" w:bidi="ar-SA"/>
          <w14:textFill>
            <w14:solidFill>
              <w14:schemeClr w14:val="tx1"/>
            </w14:solidFill>
          </w14:textFill>
        </w:rPr>
        <w:t>-</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EPSPS耐除草剂基因，创制玉米转化体R100，构建双靶点抗虫与耐草甘膦协同防控体系，从而高效防控玉米螟、草地贪夜蛾等重大害虫、延缓害虫抗性演化、减少农药施用、降低生产成本、提升玉米产量与种植效益。</w:t>
      </w:r>
    </w:p>
    <w:p w14:paraId="040BB32D">
      <w:pPr>
        <w:pStyle w:val="10"/>
        <w:keepNext w:val="0"/>
        <w:keepLines w:val="0"/>
        <w:pageBreakBefore w:val="0"/>
        <w:widowControl w:val="0"/>
        <w:kinsoku/>
        <w:wordWrap/>
        <w:overflowPunct/>
        <w:topLinePunct w:val="0"/>
        <w:autoSpaceDE/>
        <w:autoSpaceDN/>
        <w:bidi w:val="0"/>
        <w:adjustRightInd/>
        <w:snapToGrid/>
        <w:spacing w:line="520" w:lineRule="exact"/>
        <w:ind w:firstLine="640"/>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考核指标：</w:t>
      </w:r>
      <w:r>
        <w:rPr>
          <w:rFonts w:hint="default" w:ascii="Times New Roman" w:hAnsi="Times New Roman" w:eastAsia="仿宋_GB2312" w:cs="Times New Roman"/>
          <w:color w:val="000000" w:themeColor="text1"/>
          <w:sz w:val="32"/>
          <w:szCs w:val="32"/>
          <w14:textFill>
            <w14:solidFill>
              <w14:schemeClr w14:val="tx1"/>
            </w14:solidFill>
          </w14:textFill>
        </w:rPr>
        <w:t>创制1个稳定表达Cry1A-m</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Vip3Af、Cry1Da、CP4</w:t>
      </w:r>
      <w:r>
        <w:rPr>
          <w:rFonts w:hint="eastAsia"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EPSPS基因的玉米转化体R100，抗鳞翅目害虫率≥95%，耐草甘膦达推荐剂量1.5倍；完成中间试验、环境释放试验、生产性试验各1套，农艺性状优良；形成安全评价报告1套，申请发明专利≥1件，发表高水平论文2-3篇，制定省级或团体技术规程1项。</w:t>
      </w:r>
    </w:p>
    <w:p w14:paraId="7C2F0530">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11.3 西北旱区谷子糜子高效育种技术创新及多元化新品种选育</w:t>
      </w:r>
    </w:p>
    <w:p w14:paraId="2795B967">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围绕西北旱区谷子糜子育种效率低、品种单一两大核心瓶颈，构建“抗除草剂-分子标记-异地加代”一体化高效育种技术体系。重点开发关键性状分子标记，建立快速繁育与多性状协同改良方法，突破传统育种周期长、复杂性状聚合难的行业共性难题。定向创制覆盖“粮-饲-功”等多元化应用场景的新品种群，形成兼顾基础保障与高值化增值的品种矩阵。通过技术集成与种质创新，解决粮饲争地、功能原料短缺等产业痛点。</w:t>
      </w:r>
    </w:p>
    <w:p w14:paraId="3F9CE0A6">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bCs/>
          <w:color w:val="000000" w:themeColor="text1"/>
          <w:sz w:val="32"/>
          <w:szCs w:val="32"/>
          <w14:textFill>
            <w14:solidFill>
              <w14:schemeClr w14:val="tx1"/>
            </w14:solidFill>
          </w14:textFill>
        </w:rPr>
        <w:t>考核指标：</w:t>
      </w:r>
      <w:r>
        <w:rPr>
          <w:rFonts w:hint="default" w:ascii="Times New Roman" w:hAnsi="Times New Roman" w:eastAsia="仿宋_GB2312" w:cs="Times New Roman"/>
          <w:color w:val="000000" w:themeColor="text1"/>
          <w:sz w:val="32"/>
          <w:szCs w:val="32"/>
          <w14:textFill>
            <w14:solidFill>
              <w14:schemeClr w14:val="tx1"/>
            </w14:solidFill>
          </w14:textFill>
        </w:rPr>
        <w:t>开发与抗除草剂、抗旱、耐盐碱、淀粉含量、籽粒颜色等相关性状的分子标记3-5个，育种周期缩短30%以上，填补旱区谷子糜子高效生物育种技术空白；选育高产抗逆、粮饲兼用及低GI等功能型新品种3-4个，其中粮饲兼用品种粗蛋白≥12%，低GI品种GI值≤55；研究新品种配套高产栽培技术2套，在西北旱区示范推广5万亩以上，亩均增收200元，带动经济效益1000万元；培养研究生3-5名，培训农技人员200人次，形成可复制的多元化育种技术体系。</w:t>
      </w:r>
    </w:p>
    <w:p w14:paraId="490630B7">
      <w:pPr>
        <w:pStyle w:val="3"/>
        <w:keepNext w:val="0"/>
        <w:keepLines w:val="0"/>
        <w:pageBreakBefore w:val="0"/>
        <w:widowControl w:val="0"/>
        <w:kinsoku/>
        <w:wordWrap/>
        <w:overflowPunct/>
        <w:topLinePunct w:val="0"/>
        <w:autoSpaceDE/>
        <w:autoSpaceDN/>
        <w:bidi w:val="0"/>
        <w:adjustRightInd/>
        <w:snapToGrid/>
        <w:spacing w:beforeLines="0" w:afterLines="0" w:line="520" w:lineRule="exact"/>
        <w:jc w:val="both"/>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11.4 玉米单倍体育种技术体系的建立及耐密种质创制</w:t>
      </w:r>
    </w:p>
    <w:p w14:paraId="083B298C">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lang w:val="en-US" w:eastAsia="zh-CN" w:bidi="ar-SA"/>
          <w14:textFill>
            <w14:solidFill>
              <w14:schemeClr w14:val="tx1"/>
            </w14:solidFill>
          </w14:textFill>
        </w:rPr>
        <w:t>研究方向：</w:t>
      </w:r>
      <w:r>
        <w:rPr>
          <w:rFonts w:hint="default" w:ascii="Times New Roman" w:hAnsi="Times New Roman" w:cs="Times New Roman"/>
          <w:b w:val="0"/>
          <w:color w:val="000000" w:themeColor="text1"/>
          <w:kern w:val="2"/>
          <w:sz w:val="32"/>
          <w:szCs w:val="32"/>
          <w:lang w:val="en-US" w:eastAsia="zh-CN" w:bidi="ar-SA"/>
          <w14:textFill>
            <w14:solidFill>
              <w14:schemeClr w14:val="tx1"/>
            </w14:solidFill>
          </w14:textFill>
        </w:rPr>
        <w:t>创建自主化单倍体育种技术体系，在诱导、胚拯救、加倍环节引入逆境筛选压力，同步提升诱导率、再生率与DH系育种价值，打破企业技术垄断，降低育种成本；利用该体系评价新种质对改良群体的遗传效应，构建双单倍体群体，支撑基因克隆与表达研究；建立多性状综合筛选模型，突破耐密种质创制技术难点，提升株型、光合效率等耐密相关性状的选择效率，加速优良自交系培育。</w:t>
      </w:r>
    </w:p>
    <w:p w14:paraId="18A56C66">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b/>
          <w:bCs/>
          <w:color w:val="000000"/>
          <w:kern w:val="0"/>
          <w:sz w:val="32"/>
          <w:szCs w:val="32"/>
          <w:lang w:val="en-US" w:eastAsia="zh-CN" w:bidi="ar"/>
        </w:rPr>
      </w:pPr>
      <w:r>
        <w:rPr>
          <w:rFonts w:hint="default" w:ascii="Times New Roman" w:hAnsi="Times New Roman" w:eastAsia="仿宋_GB2312" w:cs="Times New Roman"/>
          <w:b/>
          <w:bCs/>
          <w:color w:val="000000" w:themeColor="text1"/>
          <w:sz w:val="32"/>
          <w:szCs w:val="32"/>
          <w14:textFill>
            <w14:solidFill>
              <w14:schemeClr w14:val="tx1"/>
            </w14:solidFill>
          </w14:textFill>
        </w:rPr>
        <w:t>考核指标：</w:t>
      </w:r>
      <w:r>
        <w:rPr>
          <w:rFonts w:hint="default" w:ascii="Times New Roman" w:hAnsi="Times New Roman" w:eastAsia="仿宋_GB2312" w:cs="Times New Roman"/>
          <w:kern w:val="0"/>
          <w:sz w:val="32"/>
          <w:szCs w:val="36"/>
        </w:rPr>
        <w:t>创制诱导率≥1</w:t>
      </w:r>
      <w:r>
        <w:rPr>
          <w:rFonts w:hint="default" w:ascii="Times New Roman" w:hAnsi="Times New Roman" w:eastAsia="仿宋_GB2312" w:cs="Times New Roman"/>
          <w:kern w:val="0"/>
          <w:sz w:val="32"/>
          <w:szCs w:val="36"/>
          <w:lang w:val="en-US" w:eastAsia="zh-CN"/>
        </w:rPr>
        <w:t>5</w:t>
      </w:r>
      <w:r>
        <w:rPr>
          <w:rFonts w:hint="default" w:ascii="Times New Roman" w:hAnsi="Times New Roman" w:eastAsia="仿宋_GB2312" w:cs="Times New Roman"/>
          <w:kern w:val="0"/>
          <w:sz w:val="32"/>
          <w:szCs w:val="36"/>
        </w:rPr>
        <w:t>%的玉米高频诱导系1-2个；构建和优化一整套完整的流水线式利用单倍体诱导创制玉米耐密种质的技术体系，单倍体诱导频率≥12%，再生率≥85%，加倍率≥</w:t>
      </w:r>
      <w:r>
        <w:rPr>
          <w:rFonts w:hint="default" w:ascii="Times New Roman" w:hAnsi="Times New Roman" w:eastAsia="仿宋_GB2312" w:cs="Times New Roman"/>
          <w:kern w:val="0"/>
          <w:sz w:val="32"/>
          <w:szCs w:val="36"/>
          <w:lang w:val="en-US" w:eastAsia="zh-CN"/>
        </w:rPr>
        <w:t>5</w:t>
      </w:r>
      <w:r>
        <w:rPr>
          <w:rFonts w:hint="default" w:ascii="Times New Roman" w:hAnsi="Times New Roman" w:eastAsia="仿宋_GB2312" w:cs="Times New Roman"/>
          <w:kern w:val="0"/>
          <w:sz w:val="32"/>
          <w:szCs w:val="36"/>
        </w:rPr>
        <w:t>0%</w:t>
      </w:r>
      <w:r>
        <w:rPr>
          <w:rFonts w:hint="default" w:ascii="Times New Roman" w:hAnsi="Times New Roman" w:eastAsia="仿宋_GB2312" w:cs="Times New Roman"/>
          <w:kern w:val="0"/>
          <w:sz w:val="32"/>
          <w:szCs w:val="36"/>
          <w:lang w:eastAsia="zh-CN"/>
        </w:rPr>
        <w:t>，</w:t>
      </w:r>
      <w:r>
        <w:rPr>
          <w:rFonts w:hint="default" w:ascii="Times New Roman" w:hAnsi="Times New Roman" w:eastAsia="仿宋_GB2312" w:cs="Times New Roman"/>
          <w:kern w:val="0"/>
          <w:sz w:val="32"/>
          <w:szCs w:val="36"/>
          <w:lang w:val="en-US" w:eastAsia="zh-CN"/>
        </w:rPr>
        <w:t>申请发明专利1-2件</w:t>
      </w:r>
      <w:r>
        <w:rPr>
          <w:rFonts w:hint="default" w:ascii="Times New Roman" w:hAnsi="Times New Roman" w:eastAsia="仿宋_GB2312" w:cs="Times New Roman"/>
          <w:kern w:val="0"/>
          <w:sz w:val="32"/>
          <w:szCs w:val="36"/>
        </w:rPr>
        <w:t>；培育密植高产玉米新品种1-2个</w:t>
      </w:r>
      <w:r>
        <w:rPr>
          <w:rFonts w:hint="default" w:ascii="Times New Roman" w:hAnsi="Times New Roman" w:eastAsia="仿宋_GB2312" w:cs="Times New Roman"/>
          <w:kern w:val="0"/>
          <w:sz w:val="32"/>
          <w:szCs w:val="36"/>
          <w:lang w:eastAsia="zh-CN"/>
        </w:rPr>
        <w:t>（</w:t>
      </w:r>
      <w:r>
        <w:rPr>
          <w:rFonts w:hint="default" w:ascii="Times New Roman" w:hAnsi="Times New Roman" w:eastAsia="仿宋_GB2312" w:cs="Times New Roman"/>
          <w:kern w:val="0"/>
          <w:sz w:val="32"/>
          <w:szCs w:val="36"/>
          <w:lang w:val="en-US" w:eastAsia="zh-CN"/>
        </w:rPr>
        <w:t>达到审定流程中的区域试验以上</w:t>
      </w:r>
      <w:r>
        <w:rPr>
          <w:rFonts w:hint="default" w:ascii="Times New Roman" w:hAnsi="Times New Roman" w:eastAsia="仿宋_GB2312" w:cs="Times New Roman"/>
          <w:kern w:val="0"/>
          <w:sz w:val="32"/>
          <w:szCs w:val="36"/>
          <w:lang w:eastAsia="zh-CN"/>
        </w:rPr>
        <w:t>）</w:t>
      </w:r>
      <w:r>
        <w:rPr>
          <w:rFonts w:hint="default" w:ascii="Times New Roman" w:hAnsi="Times New Roman" w:eastAsia="仿宋_GB2312" w:cs="Times New Roman"/>
          <w:kern w:val="0"/>
          <w:sz w:val="32"/>
          <w:szCs w:val="36"/>
        </w:rPr>
        <w:t>，可适应夏播区6000-7000株/亩的种植密度，较对照品种增产≥5%；为育种单位提供DH系创制服务10000个</w:t>
      </w:r>
      <w:r>
        <w:rPr>
          <w:rFonts w:hint="default" w:ascii="Times New Roman" w:hAnsi="Times New Roman" w:eastAsia="仿宋_GB2312" w:cs="Times New Roman"/>
          <w:kern w:val="0"/>
          <w:sz w:val="32"/>
          <w:szCs w:val="36"/>
          <w:lang w:val="en-US" w:eastAsia="zh-CN"/>
        </w:rPr>
        <w:t>成功加倍的种质材料，培育技术人员100人次</w:t>
      </w:r>
      <w:r>
        <w:rPr>
          <w:rFonts w:hint="default" w:ascii="Times New Roman" w:hAnsi="Times New Roman" w:eastAsia="仿宋_GB2312" w:cs="Times New Roman"/>
          <w:kern w:val="0"/>
          <w:sz w:val="32"/>
          <w:szCs w:val="36"/>
        </w:rPr>
        <w:t>。</w:t>
      </w:r>
    </w:p>
    <w:p w14:paraId="7FB68231">
      <w:pPr>
        <w:keepNext w:val="0"/>
        <w:keepLines w:val="0"/>
        <w:pageBreakBefore w:val="0"/>
        <w:widowControl w:val="0"/>
        <w:kinsoku/>
        <w:wordWrap/>
        <w:overflowPunct/>
        <w:topLinePunct w:val="0"/>
        <w:autoSpaceDE/>
        <w:autoSpaceDN/>
        <w:bidi w:val="0"/>
        <w:adjustRightInd/>
        <w:snapToGrid/>
        <w:spacing w:line="520" w:lineRule="exact"/>
        <w:ind w:firstLine="643" w:firstLineChars="200"/>
        <w:jc w:val="both"/>
        <w:textAlignment w:val="auto"/>
        <w:rPr>
          <w:rFonts w:hint="default" w:ascii="Times New Roman" w:hAnsi="Times New Roman" w:cs="Times New Roman"/>
        </w:rPr>
      </w:pPr>
      <w:r>
        <w:rPr>
          <w:rFonts w:hint="default" w:ascii="Times New Roman" w:hAnsi="Times New Roman" w:cs="Times New Roman"/>
          <w:b/>
          <w:bCs/>
          <w:color w:val="000000"/>
          <w:kern w:val="0"/>
          <w:sz w:val="32"/>
          <w:szCs w:val="32"/>
          <w:lang w:val="en-US" w:eastAsia="zh-CN" w:bidi="ar"/>
        </w:rPr>
        <w:t>申报要求：项目产出成果</w:t>
      </w:r>
      <w:r>
        <w:rPr>
          <w:rFonts w:hint="eastAsia" w:cs="Times New Roman"/>
          <w:b/>
          <w:bCs/>
          <w:color w:val="000000"/>
          <w:kern w:val="0"/>
          <w:sz w:val="32"/>
          <w:szCs w:val="32"/>
          <w:lang w:val="en-US" w:eastAsia="zh-CN" w:bidi="ar"/>
        </w:rPr>
        <w:t>应在</w:t>
      </w:r>
      <w:r>
        <w:rPr>
          <w:rFonts w:hint="default" w:ascii="Times New Roman" w:hAnsi="Times New Roman" w:cs="Times New Roman"/>
          <w:b/>
          <w:bCs/>
          <w:color w:val="000000"/>
          <w:kern w:val="0"/>
          <w:sz w:val="32"/>
          <w:szCs w:val="32"/>
          <w:lang w:val="en-US" w:eastAsia="zh-CN" w:bidi="ar"/>
        </w:rPr>
        <w:t>杨凌</w:t>
      </w:r>
      <w:r>
        <w:rPr>
          <w:rFonts w:hint="eastAsia" w:cs="Times New Roman"/>
          <w:b/>
          <w:bCs/>
          <w:color w:val="000000"/>
          <w:kern w:val="0"/>
          <w:sz w:val="32"/>
          <w:szCs w:val="32"/>
          <w:lang w:val="en-US" w:eastAsia="zh-CN" w:bidi="ar"/>
        </w:rPr>
        <w:t>示范区应用或落地转化，助力</w:t>
      </w:r>
      <w:r>
        <w:rPr>
          <w:rFonts w:hint="default" w:ascii="Times New Roman" w:hAnsi="Times New Roman" w:cs="Times New Roman"/>
          <w:b/>
          <w:bCs/>
          <w:color w:val="000000"/>
          <w:kern w:val="0"/>
          <w:sz w:val="32"/>
          <w:szCs w:val="32"/>
          <w:lang w:val="en-US" w:eastAsia="zh-CN" w:bidi="ar"/>
        </w:rPr>
        <w:t>杨凌</w:t>
      </w:r>
      <w:r>
        <w:rPr>
          <w:rFonts w:hint="eastAsia" w:cs="Times New Roman"/>
          <w:b/>
          <w:bCs/>
          <w:color w:val="000000"/>
          <w:kern w:val="0"/>
          <w:sz w:val="32"/>
          <w:szCs w:val="32"/>
          <w:lang w:val="en-US" w:eastAsia="zh-CN" w:bidi="ar"/>
        </w:rPr>
        <w:t>示范区</w:t>
      </w:r>
      <w:r>
        <w:rPr>
          <w:rFonts w:hint="default" w:ascii="Times New Roman" w:hAnsi="Times New Roman" w:cs="Times New Roman"/>
          <w:b/>
          <w:bCs/>
          <w:color w:val="000000"/>
          <w:kern w:val="0"/>
          <w:sz w:val="32"/>
          <w:szCs w:val="32"/>
          <w:lang w:val="en-US" w:eastAsia="zh-CN" w:bidi="ar"/>
        </w:rPr>
        <w:t>产业发展</w:t>
      </w:r>
      <w:r>
        <w:rPr>
          <w:rFonts w:hint="eastAsia" w:cs="Times New Roman"/>
          <w:b/>
          <w:bCs/>
          <w:color w:val="000000"/>
          <w:kern w:val="0"/>
          <w:sz w:val="32"/>
          <w:szCs w:val="32"/>
          <w:lang w:val="en-US" w:eastAsia="zh-CN" w:bidi="ar"/>
        </w:rPr>
        <w:t>和企业创新</w:t>
      </w:r>
      <w:r>
        <w:rPr>
          <w:rFonts w:hint="default" w:ascii="Times New Roman" w:hAnsi="Times New Roman" w:cs="Times New Roman"/>
          <w:b/>
          <w:bCs/>
          <w:color w:val="000000"/>
          <w:kern w:val="0"/>
          <w:sz w:val="32"/>
          <w:szCs w:val="32"/>
          <w:lang w:val="en-US" w:eastAsia="zh-CN" w:bidi="ar"/>
        </w:rPr>
        <w:t>。</w:t>
      </w:r>
    </w:p>
    <w:sectPr>
      <w:footerReference r:id="rId5" w:type="default"/>
      <w:pgSz w:w="11906" w:h="16838"/>
      <w:pgMar w:top="2098" w:right="1474"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09CE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70E1AB">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770E1AB">
                    <w:pPr>
                      <w:pStyle w:val="6"/>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8458BA"/>
    <w:rsid w:val="01D92F9F"/>
    <w:rsid w:val="028458BA"/>
    <w:rsid w:val="04DB39B2"/>
    <w:rsid w:val="05933535"/>
    <w:rsid w:val="07A7777E"/>
    <w:rsid w:val="0FDFC4C8"/>
    <w:rsid w:val="12A74598"/>
    <w:rsid w:val="12F1035A"/>
    <w:rsid w:val="14CD0197"/>
    <w:rsid w:val="17DD5353"/>
    <w:rsid w:val="1AAB623F"/>
    <w:rsid w:val="1AE46874"/>
    <w:rsid w:val="1CFF159F"/>
    <w:rsid w:val="1EDB4030"/>
    <w:rsid w:val="1FBED879"/>
    <w:rsid w:val="1FE7533D"/>
    <w:rsid w:val="1FFC99DC"/>
    <w:rsid w:val="25EFF90D"/>
    <w:rsid w:val="26754527"/>
    <w:rsid w:val="2778DAA8"/>
    <w:rsid w:val="27E3B14C"/>
    <w:rsid w:val="2B75075B"/>
    <w:rsid w:val="2BFF429D"/>
    <w:rsid w:val="333A6DEE"/>
    <w:rsid w:val="33F60AA6"/>
    <w:rsid w:val="3BBD1EEC"/>
    <w:rsid w:val="3BFD2A8A"/>
    <w:rsid w:val="3DEE08AF"/>
    <w:rsid w:val="3E3C2BD4"/>
    <w:rsid w:val="3F3F6590"/>
    <w:rsid w:val="3F7E4313"/>
    <w:rsid w:val="3F7FD9A7"/>
    <w:rsid w:val="3FCE4FDF"/>
    <w:rsid w:val="3FEB091C"/>
    <w:rsid w:val="401D2E48"/>
    <w:rsid w:val="41B54C4E"/>
    <w:rsid w:val="46962374"/>
    <w:rsid w:val="47BE17B3"/>
    <w:rsid w:val="48BF7799"/>
    <w:rsid w:val="4EF7D384"/>
    <w:rsid w:val="4F7D350F"/>
    <w:rsid w:val="53CD7E8D"/>
    <w:rsid w:val="57B28922"/>
    <w:rsid w:val="57FD0B1A"/>
    <w:rsid w:val="59FFB39C"/>
    <w:rsid w:val="5A774D0E"/>
    <w:rsid w:val="5D718FD6"/>
    <w:rsid w:val="5DCF7D93"/>
    <w:rsid w:val="5DF96137"/>
    <w:rsid w:val="5DFF721C"/>
    <w:rsid w:val="5EF708E9"/>
    <w:rsid w:val="5EF71A28"/>
    <w:rsid w:val="5EFEC695"/>
    <w:rsid w:val="5F7DD23D"/>
    <w:rsid w:val="64671E01"/>
    <w:rsid w:val="69C75434"/>
    <w:rsid w:val="6BFBE3C6"/>
    <w:rsid w:val="6EBEA4DF"/>
    <w:rsid w:val="6F7F2845"/>
    <w:rsid w:val="6FEB5523"/>
    <w:rsid w:val="6FFFB68E"/>
    <w:rsid w:val="71BF8E78"/>
    <w:rsid w:val="73973E03"/>
    <w:rsid w:val="75D43AB7"/>
    <w:rsid w:val="75EBC358"/>
    <w:rsid w:val="76E67434"/>
    <w:rsid w:val="76EEA6CA"/>
    <w:rsid w:val="77A5A7CF"/>
    <w:rsid w:val="797E2418"/>
    <w:rsid w:val="7AA796C3"/>
    <w:rsid w:val="7AA91785"/>
    <w:rsid w:val="7AEDB3A1"/>
    <w:rsid w:val="7B8F65ED"/>
    <w:rsid w:val="7B9A32FF"/>
    <w:rsid w:val="7BB9CBDC"/>
    <w:rsid w:val="7BFD8DCC"/>
    <w:rsid w:val="7DF2787C"/>
    <w:rsid w:val="7DFC7AEF"/>
    <w:rsid w:val="7E1E8E59"/>
    <w:rsid w:val="7E6F79FA"/>
    <w:rsid w:val="7ECD1128"/>
    <w:rsid w:val="7EDB8D83"/>
    <w:rsid w:val="7EEF937D"/>
    <w:rsid w:val="7EFF72ED"/>
    <w:rsid w:val="7FAF8179"/>
    <w:rsid w:val="7FAFB0B8"/>
    <w:rsid w:val="7FEE8AAA"/>
    <w:rsid w:val="7FF3AC76"/>
    <w:rsid w:val="8FDB3DAF"/>
    <w:rsid w:val="9DFBE30C"/>
    <w:rsid w:val="9EFEC4D2"/>
    <w:rsid w:val="9F7F681A"/>
    <w:rsid w:val="A7FE7546"/>
    <w:rsid w:val="A7FF63A2"/>
    <w:rsid w:val="AF63180C"/>
    <w:rsid w:val="AFB79D10"/>
    <w:rsid w:val="AFBD6780"/>
    <w:rsid w:val="B59F8054"/>
    <w:rsid w:val="B77E5561"/>
    <w:rsid w:val="B9F3865B"/>
    <w:rsid w:val="BAAA9E8D"/>
    <w:rsid w:val="BD4F0439"/>
    <w:rsid w:val="BF876A0C"/>
    <w:rsid w:val="C9FF4908"/>
    <w:rsid w:val="CB7D6FCC"/>
    <w:rsid w:val="CDFB26B4"/>
    <w:rsid w:val="CDFF0BD5"/>
    <w:rsid w:val="CEED0835"/>
    <w:rsid w:val="CF7F747C"/>
    <w:rsid w:val="CFCFC646"/>
    <w:rsid w:val="CFFB6C90"/>
    <w:rsid w:val="D5FB612F"/>
    <w:rsid w:val="D6FBB112"/>
    <w:rsid w:val="D7F55210"/>
    <w:rsid w:val="D7F605FE"/>
    <w:rsid w:val="DAFADEC8"/>
    <w:rsid w:val="DBFD0751"/>
    <w:rsid w:val="DDFF6333"/>
    <w:rsid w:val="DF566519"/>
    <w:rsid w:val="DF7FC8F9"/>
    <w:rsid w:val="DFDD88B0"/>
    <w:rsid w:val="EBAFD421"/>
    <w:rsid w:val="EDFFFEE7"/>
    <w:rsid w:val="EF8F3C93"/>
    <w:rsid w:val="F0160568"/>
    <w:rsid w:val="F0FE4D62"/>
    <w:rsid w:val="F4BEE045"/>
    <w:rsid w:val="F4BF2C46"/>
    <w:rsid w:val="F57EEE68"/>
    <w:rsid w:val="F6B7C737"/>
    <w:rsid w:val="F764B2CD"/>
    <w:rsid w:val="F7ADC29C"/>
    <w:rsid w:val="F7BDD572"/>
    <w:rsid w:val="F9BE75CA"/>
    <w:rsid w:val="FB77BC5B"/>
    <w:rsid w:val="FB7D3CE0"/>
    <w:rsid w:val="FB7F6A56"/>
    <w:rsid w:val="FBB54E58"/>
    <w:rsid w:val="FBFCB35E"/>
    <w:rsid w:val="FC3552FC"/>
    <w:rsid w:val="FC797421"/>
    <w:rsid w:val="FDBF5B83"/>
    <w:rsid w:val="FDEFBDCD"/>
    <w:rsid w:val="FDFF4BFA"/>
    <w:rsid w:val="FE5E4170"/>
    <w:rsid w:val="FEEE481D"/>
    <w:rsid w:val="FEFF99F4"/>
    <w:rsid w:val="FF37BEB8"/>
    <w:rsid w:val="FF3A14A9"/>
    <w:rsid w:val="FF77ADF7"/>
    <w:rsid w:val="FFBF6CDB"/>
    <w:rsid w:val="FFBF7494"/>
    <w:rsid w:val="FFBFBF9E"/>
    <w:rsid w:val="FFD33A9E"/>
    <w:rsid w:val="FFDB7810"/>
    <w:rsid w:val="FFDDDB8A"/>
    <w:rsid w:val="FFF70687"/>
    <w:rsid w:val="FFF7AD79"/>
    <w:rsid w:val="FFFAFB30"/>
    <w:rsid w:val="FFFD75EF"/>
    <w:rsid w:val="FFFF8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suppressAutoHyphens/>
      <w:kinsoku/>
      <w:wordWrap/>
      <w:overflowPunct/>
      <w:topLinePunct w:val="0"/>
      <w:autoSpaceDE/>
      <w:autoSpaceDN/>
      <w:bidi w:val="0"/>
      <w:adjustRightInd/>
      <w:snapToGrid/>
      <w:spacing w:line="560" w:lineRule="exact"/>
      <w:ind w:firstLine="602" w:firstLineChars="200"/>
      <w:jc w:val="both"/>
      <w:textAlignment w:val="auto"/>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spacing w:line="560" w:lineRule="exact"/>
      <w:ind w:firstLine="640" w:firstLineChars="200"/>
      <w:jc w:val="left"/>
      <w:outlineLvl w:val="0"/>
    </w:pPr>
    <w:rPr>
      <w:rFonts w:ascii="Times New Roman" w:hAnsi="Times New Roman" w:eastAsia="黑体" w:cs="Times New Roman"/>
      <w:kern w:val="44"/>
      <w:sz w:val="32"/>
      <w:szCs w:val="32"/>
    </w:rPr>
  </w:style>
  <w:style w:type="paragraph" w:styleId="3">
    <w:name w:val="heading 2"/>
    <w:next w:val="1"/>
    <w:unhideWhenUsed/>
    <w:qFormat/>
    <w:uiPriority w:val="0"/>
    <w:pPr>
      <w:keepNext/>
      <w:keepLines/>
      <w:pageBreakBefore w:val="0"/>
      <w:widowControl w:val="0"/>
      <w:suppressAutoHyphens/>
      <w:kinsoku/>
      <w:wordWrap/>
      <w:overflowPunct/>
      <w:topLinePunct w:val="0"/>
      <w:autoSpaceDE/>
      <w:autoSpaceDN/>
      <w:bidi w:val="0"/>
      <w:spacing w:beforeLines="0" w:beforeAutospacing="0" w:afterLines="0" w:afterAutospacing="0" w:line="560" w:lineRule="exact"/>
      <w:ind w:firstLine="881" w:firstLineChars="200"/>
      <w:jc w:val="both"/>
      <w:outlineLvl w:val="1"/>
    </w:pPr>
    <w:rPr>
      <w:rFonts w:ascii="Times New Roman" w:hAnsi="Times New Roman" w:eastAsia="仿宋_GB2312" w:cs="Times New Roman"/>
      <w:b/>
      <w:bCs/>
      <w:kern w:val="2"/>
      <w:sz w:val="32"/>
      <w:szCs w:val="3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line="500" w:lineRule="atLeast"/>
      <w:ind w:firstLine="420"/>
    </w:pPr>
    <w:rPr>
      <w:sz w:val="28"/>
    </w:rPr>
  </w:style>
  <w:style w:type="paragraph" w:styleId="5">
    <w:name w:val="Body Text 3"/>
    <w:basedOn w:val="1"/>
    <w:qFormat/>
    <w:uiPriority w:val="0"/>
    <w:pPr>
      <w:spacing w:after="120"/>
    </w:pPr>
    <w:rPr>
      <w:kern w:val="0"/>
      <w:sz w:val="16"/>
      <w:szCs w:val="16"/>
    </w:r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unhideWhenUsed/>
    <w:qFormat/>
    <w:uiPriority w:val="99"/>
    <w:rPr>
      <w:rFonts w:ascii="Times New Roman" w:hAnsi="Times New Roman" w:eastAsia="宋体" w:cs="Times New Roman"/>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0">
    <w:name w:val="正文缩进1"/>
    <w:basedOn w:val="1"/>
    <w:qFormat/>
    <w:uiPriority w:val="0"/>
    <w:pPr>
      <w:spacing w:line="660" w:lineRule="exact"/>
      <w:ind w:firstLine="720" w:firstLineChars="200"/>
    </w:pPr>
    <w:rPr>
      <w:rFonts w:eastAsia="楷体_GB2312"/>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4030</Words>
  <Characters>4707</Characters>
  <Lines>0</Lines>
  <Paragraphs>0</Paragraphs>
  <TotalTime>63</TotalTime>
  <ScaleCrop>false</ScaleCrop>
  <LinksUpToDate>false</LinksUpToDate>
  <CharactersWithSpaces>4720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2024-12-15T01:43:00Z</dcterms:created>
  <dc:creator>zls</dc:creator>
  <cp:lastModifiedBy>丫丫</cp:lastModifiedBy>
  <cp:lastPrinted>2026-09-14T07:36:00Z</cp:lastPrinted>
  <dcterms:modified xsi:type="dcterms:W3CDTF">2026-09-16T09:31:36Z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7F4B11D23A02484FA6F9F2154CFCABE3_13</vt:lpwstr>
  </property>
  <property fmtid="{D5CDD505-2E9C-101B-9397-08002B2CF9AE}" pid="4" name="KSOTemplateDocerSaveRecord">
    <vt:lpwstr>eyJoZGlkIjoiMmM0MWVjNzZmYjg4M2IxYjUzN2MxNTUwMTc2OWY0MjEiLCJ1c2VySWQiOiI2MTkyOTY4NjYifQ==</vt:lpwstr>
  </property>
</Properties>
</file>